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宜阳河道县河段管理范围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rPr>
          <w:b/>
          <w:bCs/>
          <w:sz w:val="36"/>
          <w:szCs w:val="36"/>
        </w:rPr>
      </w:pPr>
    </w:p>
    <w:p>
      <w:pPr>
        <w:jc w:val="center"/>
        <w:rPr>
          <w:sz w:val="32"/>
          <w:szCs w:val="32"/>
        </w:rPr>
      </w:pPr>
      <w:r>
        <w:rPr>
          <w:rFonts w:hint="eastAsia"/>
          <w:sz w:val="32"/>
          <w:szCs w:val="32"/>
        </w:rPr>
        <w:t>二〇一九年十二月</w:t>
      </w:r>
    </w:p>
    <w:p>
      <w:pPr>
        <w:jc w:val="center"/>
        <w:rPr>
          <w:lang w:val="zh-CN"/>
        </w:rPr>
      </w:pPr>
    </w:p>
    <w:p>
      <w:pPr>
        <w:jc w:val="center"/>
        <w:rPr>
          <w:lang w:val="zh-CN"/>
        </w:rPr>
      </w:pPr>
    </w:p>
    <w:p>
      <w:pPr>
        <w:jc w:val="center"/>
        <w:rPr>
          <w:lang w:val="zh-CN"/>
        </w:rPr>
      </w:pPr>
    </w:p>
    <w:p>
      <w:pPr>
        <w:jc w:val="center"/>
        <w:rPr>
          <w:lang w:val="zh-CN"/>
        </w:rPr>
      </w:pPr>
    </w:p>
    <w:p>
      <w:pPr>
        <w:jc w:val="center"/>
        <w:rPr>
          <w:rFonts w:ascii="宋体" w:hAnsi="宋体" w:eastAsia="宋体"/>
          <w:b/>
          <w:sz w:val="52"/>
          <w:szCs w:val="52"/>
        </w:rPr>
      </w:pPr>
      <w:r>
        <w:rPr>
          <w:rFonts w:hint="eastAsia" w:asciiTheme="majorEastAsia" w:hAnsiTheme="majorEastAsia" w:eastAsiaTheme="majorEastAsia"/>
          <w:b/>
          <w:sz w:val="52"/>
          <w:szCs w:val="52"/>
        </w:rPr>
        <w:t>宜阳河</w:t>
      </w:r>
      <w:r>
        <w:rPr>
          <w:rFonts w:hint="eastAsia" w:ascii="宋体" w:hAnsi="宋体" w:eastAsia="宋体"/>
          <w:b/>
          <w:sz w:val="52"/>
          <w:szCs w:val="52"/>
        </w:rPr>
        <w:t>道县河段管理范围</w:t>
      </w:r>
    </w:p>
    <w:p>
      <w:pPr>
        <w:ind w:firstLine="4176" w:firstLineChars="800"/>
        <w:rPr>
          <w:rFonts w:ascii="宋体" w:hAnsi="宋体" w:eastAsia="宋体"/>
          <w:b/>
          <w:sz w:val="52"/>
          <w:szCs w:val="52"/>
        </w:rPr>
      </w:pPr>
    </w:p>
    <w:p>
      <w:pPr>
        <w:ind w:firstLine="4176" w:firstLineChars="800"/>
        <w:rPr>
          <w:rFonts w:ascii="宋体" w:hAnsi="宋体" w:eastAsia="宋体"/>
          <w:b/>
          <w:sz w:val="52"/>
          <w:szCs w:val="52"/>
        </w:rPr>
      </w:pPr>
    </w:p>
    <w:p>
      <w:pPr>
        <w:ind w:firstLine="4176" w:firstLineChars="800"/>
        <w:rPr>
          <w:rFonts w:ascii="宋体" w:hAnsi="宋体" w:eastAsia="宋体"/>
          <w:b/>
          <w:sz w:val="52"/>
          <w:szCs w:val="52"/>
        </w:rPr>
      </w:pPr>
    </w:p>
    <w:p>
      <w:pPr>
        <w:jc w:val="center"/>
        <w:rPr>
          <w:rFonts w:ascii="宋体" w:hAnsi="宋体" w:eastAsia="宋体"/>
          <w:b/>
          <w:sz w:val="52"/>
          <w:szCs w:val="52"/>
        </w:rPr>
      </w:pPr>
      <w:r>
        <w:rPr>
          <w:rFonts w:hint="eastAsia" w:ascii="宋体" w:hAnsi="宋体" w:eastAsia="宋体"/>
          <w:b/>
          <w:sz w:val="52"/>
          <w:szCs w:val="52"/>
        </w:rPr>
        <w:t>划</w:t>
      </w:r>
    </w:p>
    <w:p>
      <w:pPr>
        <w:jc w:val="center"/>
        <w:rPr>
          <w:rFonts w:ascii="宋体" w:hAnsi="宋体" w:eastAsia="宋体"/>
          <w:b/>
          <w:sz w:val="52"/>
          <w:szCs w:val="52"/>
        </w:rPr>
      </w:pPr>
      <w:r>
        <w:rPr>
          <w:rFonts w:hint="eastAsia" w:ascii="宋体" w:hAnsi="宋体" w:eastAsia="宋体"/>
          <w:b/>
          <w:sz w:val="52"/>
          <w:szCs w:val="52"/>
        </w:rPr>
        <w:t>定</w:t>
      </w:r>
    </w:p>
    <w:p>
      <w:pPr>
        <w:jc w:val="center"/>
        <w:rPr>
          <w:rFonts w:ascii="宋体" w:hAnsi="宋体" w:eastAsia="宋体"/>
          <w:b/>
          <w:sz w:val="52"/>
          <w:szCs w:val="52"/>
        </w:rPr>
      </w:pPr>
      <w:r>
        <w:rPr>
          <w:rFonts w:hint="eastAsia" w:ascii="宋体" w:hAnsi="宋体" w:eastAsia="宋体"/>
          <w:b/>
          <w:sz w:val="52"/>
          <w:szCs w:val="52"/>
        </w:rPr>
        <w:t>方</w:t>
      </w:r>
    </w:p>
    <w:p>
      <w:pPr>
        <w:jc w:val="center"/>
        <w:rPr>
          <w:rFonts w:ascii="宋体" w:hAnsi="宋体" w:eastAsia="宋体"/>
          <w:b/>
          <w:sz w:val="52"/>
          <w:szCs w:val="52"/>
        </w:rPr>
      </w:pPr>
      <w:r>
        <w:rPr>
          <w:rFonts w:hint="eastAsia" w:ascii="宋体" w:hAnsi="宋体" w:eastAsia="宋体"/>
          <w:b/>
          <w:sz w:val="52"/>
          <w:szCs w:val="52"/>
        </w:rPr>
        <w:t>案</w:t>
      </w:r>
    </w:p>
    <w:p/>
    <w:p>
      <w:r>
        <w:rPr>
          <w:rFonts w:hint="eastAsia" w:eastAsia="宋体"/>
          <w:sz w:val="32"/>
          <w:szCs w:val="32"/>
        </w:rPr>
        <w:drawing>
          <wp:anchor distT="0" distB="0" distL="114300" distR="114300"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7"/>
                    <a:stretch>
                      <a:fillRect/>
                    </a:stretch>
                  </pic:blipFill>
                  <pic:spPr>
                    <a:xfrm>
                      <a:off x="0" y="0"/>
                      <a:ext cx="974090" cy="767080"/>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4"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唐贵荣"/>
                    <pic:cNvPicPr>
                      <a:picLocks noChangeAspect="1"/>
                    </pic:cNvPicPr>
                  </pic:nvPicPr>
                  <pic:blipFill>
                    <a:blip r:embed="rId8"/>
                    <a:stretch>
                      <a:fillRect/>
                    </a:stretch>
                  </pic:blipFill>
                  <pic:spPr>
                    <a:xfrm>
                      <a:off x="0" y="0"/>
                      <a:ext cx="1057910" cy="506730"/>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6"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descr="杨武"/>
                    <pic:cNvPicPr>
                      <a:picLocks noChangeAspect="1"/>
                    </pic:cNvPicPr>
                  </pic:nvPicPr>
                  <pic:blipFill>
                    <a:blip r:embed="rId9"/>
                    <a:stretch>
                      <a:fillRect/>
                    </a:stretch>
                  </pic:blipFill>
                  <pic:spPr>
                    <a:xfrm>
                      <a:off x="0" y="0"/>
                      <a:ext cx="660400" cy="484505"/>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7"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陈静"/>
                    <pic:cNvPicPr>
                      <a:picLocks noChangeAspect="1"/>
                    </pic:cNvPicPr>
                  </pic:nvPicPr>
                  <pic:blipFill>
                    <a:blip r:embed="rId10"/>
                    <a:stretch>
                      <a:fillRect/>
                    </a:stretch>
                  </pic:blipFill>
                  <pic:spPr>
                    <a:xfrm>
                      <a:off x="0" y="0"/>
                      <a:ext cx="704215" cy="544195"/>
                    </a:xfrm>
                    <a:prstGeom prst="rect">
                      <a:avLst/>
                    </a:prstGeom>
                    <a:noFill/>
                    <a:ln>
                      <a:noFill/>
                    </a:ln>
                  </pic:spPr>
                </pic:pic>
              </a:graphicData>
            </a:graphic>
          </wp:anchor>
        </w:drawing>
      </w:r>
      <w:r>
        <w:rPr>
          <w:rFonts w:hint="eastAsia" w:eastAsia="宋体"/>
          <w:b/>
          <w:bCs/>
          <w:sz w:val="36"/>
          <w:szCs w:val="36"/>
        </w:rPr>
        <w:drawing>
          <wp:anchor distT="0" distB="0" distL="114300" distR="114300"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8"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韩少武1"/>
                    <pic:cNvPicPr>
                      <a:picLocks noChangeAspect="1"/>
                    </pic:cNvPicPr>
                  </pic:nvPicPr>
                  <pic:blipFill>
                    <a:blip r:embed="rId11"/>
                    <a:stretch>
                      <a:fillRect/>
                    </a:stretch>
                  </pic:blipFill>
                  <pic:spPr>
                    <a:xfrm>
                      <a:off x="0" y="0"/>
                      <a:ext cx="720725" cy="507365"/>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9"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雷端生"/>
                    <pic:cNvPicPr>
                      <a:picLocks noChangeAspect="1"/>
                    </pic:cNvPicPr>
                  </pic:nvPicPr>
                  <pic:blipFill>
                    <a:blip r:embed="rId12"/>
                    <a:stretch>
                      <a:fillRect/>
                    </a:stretch>
                  </pic:blipFill>
                  <pic:spPr>
                    <a:xfrm>
                      <a:off x="0" y="0"/>
                      <a:ext cx="1398905" cy="585470"/>
                    </a:xfrm>
                    <a:prstGeom prst="rect">
                      <a:avLst/>
                    </a:prstGeom>
                    <a:noFill/>
                    <a:ln>
                      <a:noFill/>
                    </a:ln>
                  </pic:spPr>
                </pic:pic>
              </a:graphicData>
            </a:graphic>
          </wp:anchor>
        </w:drawing>
      </w:r>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sectPr>
          <w:footerReference r:id="rId3" w:type="default"/>
          <w:pgSz w:w="11906" w:h="16838"/>
          <w:pgMar w:top="1440" w:right="1800" w:bottom="1440" w:left="1800" w:header="851" w:footer="992" w:gutter="0"/>
          <w:cols w:space="425" w:num="1"/>
          <w:docGrid w:type="lines" w:linePitch="312" w:charSpace="0"/>
        </w:sectPr>
      </w:pPr>
      <w:r>
        <w:rPr>
          <w:rFonts w:hint="eastAsia"/>
          <w:sz w:val="32"/>
          <w:szCs w:val="32"/>
        </w:rPr>
        <w:t>二〇一九年九月</w:t>
      </w:r>
    </w:p>
    <w:p>
      <w:pPr>
        <w:rPr>
          <w:lang w:val="zh-CN"/>
        </w:rPr>
      </w:pPr>
    </w:p>
    <w:sdt>
      <w:sdtPr>
        <w:rPr>
          <w:sz w:val="32"/>
          <w:szCs w:val="32"/>
          <w:lang w:val="zh-CN"/>
        </w:rPr>
        <w:id w:val="1179163390"/>
        <w:docPartObj>
          <w:docPartGallery w:val="Table of Contents"/>
          <w:docPartUnique/>
        </w:docPartObj>
      </w:sdtPr>
      <w:sdtEndPr>
        <w:rPr>
          <w:sz w:val="28"/>
          <w:szCs w:val="28"/>
          <w:lang w:val="zh-CN"/>
        </w:rPr>
      </w:sdtEndPr>
      <w:sdtContent>
        <w:p>
          <w:pPr>
            <w:jc w:val="center"/>
            <w:rPr>
              <w:rFonts w:asciiTheme="minorEastAsia" w:hAnsiTheme="minorEastAsia" w:cstheme="minorEastAsia"/>
              <w:sz w:val="32"/>
              <w:szCs w:val="32"/>
            </w:rPr>
          </w:pPr>
          <w:r>
            <w:rPr>
              <w:rFonts w:hint="eastAsia" w:asciiTheme="minorEastAsia" w:hAnsiTheme="minorEastAsia" w:cstheme="minorEastAsia"/>
              <w:sz w:val="32"/>
              <w:szCs w:val="32"/>
            </w:rPr>
            <w:t>目  录</w:t>
          </w:r>
        </w:p>
        <w:sdt>
          <w:sdtPr>
            <w:rPr>
              <w:rFonts w:hint="eastAsia" w:asciiTheme="minorEastAsia" w:hAnsiTheme="minorEastAsia" w:cstheme="minorEastAsia"/>
              <w:sz w:val="28"/>
              <w:szCs w:val="28"/>
              <w:lang w:val="zh-CN"/>
            </w:rPr>
            <w:id w:val="809346636"/>
            <w:docPartObj>
              <w:docPartGallery w:val="Table of Contents"/>
              <w:docPartUnique/>
            </w:docPartObj>
          </w:sdtPr>
          <w:sdtEndPr>
            <w:rPr>
              <w:rFonts w:hint="eastAsia" w:asciiTheme="minorEastAsia" w:hAnsiTheme="minorEastAsia" w:cstheme="minorEastAsia"/>
              <w:sz w:val="28"/>
              <w:szCs w:val="28"/>
              <w:lang w:val="zh-CN"/>
            </w:rPr>
          </w:sdtEndPr>
          <w:sdtContent>
            <w:p>
              <w:pPr>
                <w:pStyle w:val="18"/>
                <w:tabs>
                  <w:tab w:val="right" w:leader="dot" w:pos="8306"/>
                </w:tabs>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TOC \o "1-3" \h \z \u </w:instrText>
              </w:r>
              <w:r>
                <w:rPr>
                  <w:rFonts w:hint="eastAsia" w:asciiTheme="minorEastAsia" w:hAnsiTheme="minorEastAsia" w:cstheme="minorEastAsia"/>
                  <w:sz w:val="28"/>
                  <w:szCs w:val="28"/>
                </w:rPr>
                <w:fldChar w:fldCharType="separate"/>
              </w:r>
              <w:r>
                <w:fldChar w:fldCharType="begin"/>
              </w:r>
              <w:r>
                <w:instrText xml:space="preserve"> HYPERLINK \l "_Toc18584"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_Toc18584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"_Toc30019"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_Toc30019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"_Toc7104"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_Toc7104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"_Toc26241"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_Toc26241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"_Toc16514"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_Toc16514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"_Toc25820"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_Toc25820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"_Toc32041"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_Toc32041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"_Toc3809"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_Toc3809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"_Toc18893"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_Toc18893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"_Toc2306"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_Toc2306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"_Toc31464"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_Toc31464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"_Toc22616"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_Toc22616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"_Toc8594"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_Toc8594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"_Toc28789"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_Toc28789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"_Toc22151"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_Toc22151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"_Toc29905"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_Toc29905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"_Toc3681"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_Toc3681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"_Toc29335"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_Toc29335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"_Toc18611"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_Toc18611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"_Toc15834"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_Toc15834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"_Toc14563"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_Toc14563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"_Toc13693" </w:instrText>
              </w:r>
              <w:r>
                <w:fldChar w:fldCharType="separate"/>
              </w:r>
              <w:r>
                <w:rPr>
                  <w:rFonts w:hint="eastAsia" w:asciiTheme="minorEastAsia" w:hAnsiTheme="minorEastAsia" w:cstheme="minorEastAsia"/>
                  <w:sz w:val="28"/>
                  <w:szCs w:val="28"/>
                </w:rPr>
                <w:t>4.3.1 洪水位分析计算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_Toc13693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"_Toc16122" </w:instrText>
              </w:r>
              <w:r>
                <w:fldChar w:fldCharType="separate"/>
              </w:r>
              <w:r>
                <w:rPr>
                  <w:rFonts w:hint="eastAsia" w:asciiTheme="minorEastAsia" w:hAnsiTheme="minorEastAsia" w:cstheme="minorEastAsia"/>
                  <w:sz w:val="28"/>
                  <w:szCs w:val="28"/>
                </w:rPr>
                <w:t>4.3.1.1 设计洪水标准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_Toc16122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"_Toc2901" </w:instrText>
              </w:r>
              <w:r>
                <w:fldChar w:fldCharType="separate"/>
              </w:r>
              <w:r>
                <w:rPr>
                  <w:rFonts w:hint="eastAsia" w:asciiTheme="minorEastAsia" w:hAnsiTheme="minorEastAsia" w:cstheme="minorEastAsia"/>
                  <w:sz w:val="28"/>
                  <w:szCs w:val="28"/>
                </w:rPr>
                <w:t>4.3.1.2 水文基本资料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_Toc2901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"_Toc30654" </w:instrText>
              </w:r>
              <w:r>
                <w:fldChar w:fldCharType="separate"/>
              </w:r>
              <w:r>
                <w:rPr>
                  <w:rFonts w:hint="eastAsia" w:asciiTheme="minorEastAsia" w:hAnsiTheme="minorEastAsia" w:cstheme="minorEastAsia"/>
                  <w:sz w:val="28"/>
                  <w:szCs w:val="28"/>
                </w:rPr>
                <w:t>4.3.1.3 断面资料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_Toc30654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"_Toc23110" </w:instrText>
              </w:r>
              <w:r>
                <w:fldChar w:fldCharType="separate"/>
              </w:r>
              <w:r>
                <w:rPr>
                  <w:rFonts w:hint="eastAsia" w:asciiTheme="minorEastAsia" w:hAnsiTheme="minorEastAsia" w:cstheme="minorEastAsia"/>
                  <w:sz w:val="28"/>
                  <w:szCs w:val="28"/>
                </w:rPr>
                <w:t>4.3.1.4 设计洪水计算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_Toc23110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"_Toc9939" </w:instrText>
              </w:r>
              <w:r>
                <w:fldChar w:fldCharType="separate"/>
              </w:r>
              <w:r>
                <w:rPr>
                  <w:rFonts w:hint="eastAsia" w:asciiTheme="minorEastAsia" w:hAnsiTheme="minorEastAsia" w:cstheme="minorEastAsia"/>
                  <w:sz w:val="28"/>
                  <w:szCs w:val="28"/>
                </w:rPr>
                <w:t>4.3.1.4.1设计暴雨计算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_Toc9939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"_Toc25200" </w:instrText>
              </w:r>
              <w:r>
                <w:fldChar w:fldCharType="separate"/>
              </w:r>
              <w:r>
                <w:rPr>
                  <w:rFonts w:hint="eastAsia" w:asciiTheme="minorEastAsia" w:hAnsiTheme="minorEastAsia" w:cstheme="minorEastAsia"/>
                  <w:sz w:val="28"/>
                  <w:szCs w:val="28"/>
                </w:rPr>
                <w:t>4.3.1.4.2设计净雨计算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_Toc25200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ind w:left="0" w:leftChars="0" w:firstLine="630" w:firstLineChars="300"/>
                <w:rPr>
                  <w:rFonts w:asciiTheme="minorEastAsia" w:hAnsiTheme="minorEastAsia" w:cstheme="minorEastAsia"/>
                  <w:sz w:val="28"/>
                  <w:szCs w:val="28"/>
                </w:rPr>
              </w:pPr>
              <w:r>
                <w:fldChar w:fldCharType="begin"/>
              </w:r>
              <w:r>
                <w:instrText xml:space="preserve"> HYPERLINK \l "_Toc4793" </w:instrText>
              </w:r>
              <w:r>
                <w:fldChar w:fldCharType="separate"/>
              </w:r>
              <w:r>
                <w:rPr>
                  <w:rFonts w:hint="eastAsia" w:asciiTheme="minorEastAsia" w:hAnsiTheme="minorEastAsia" w:cstheme="minorEastAsia"/>
                  <w:sz w:val="28"/>
                  <w:szCs w:val="28"/>
                </w:rPr>
                <w:t>4.3.1.4.3设计净雨分配过程</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_Toc4793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ind w:left="0" w:leftChars="0" w:firstLine="630" w:firstLineChars="300"/>
                <w:rPr>
                  <w:rFonts w:asciiTheme="minorEastAsia" w:hAnsiTheme="minorEastAsia" w:cstheme="minorEastAsia"/>
                  <w:sz w:val="28"/>
                  <w:szCs w:val="28"/>
                </w:rPr>
              </w:pPr>
              <w:r>
                <w:fldChar w:fldCharType="begin"/>
              </w:r>
              <w:r>
                <w:instrText xml:space="preserve"> HYPERLINK \l "_Toc17323" </w:instrText>
              </w:r>
              <w:r>
                <w:fldChar w:fldCharType="separate"/>
              </w:r>
              <w:r>
                <w:rPr>
                  <w:rFonts w:hint="eastAsia" w:asciiTheme="minorEastAsia" w:hAnsiTheme="minorEastAsia" w:cstheme="minorEastAsia"/>
                  <w:sz w:val="28"/>
                  <w:szCs w:val="28"/>
                </w:rPr>
                <w:t>4.3.1.4.4设计洪峰流量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_Toc17323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ind w:left="0" w:leftChars="0" w:firstLine="630" w:firstLineChars="300"/>
                <w:rPr>
                  <w:rFonts w:asciiTheme="minorEastAsia" w:hAnsiTheme="minorEastAsia" w:cstheme="minorEastAsia"/>
                  <w:sz w:val="28"/>
                  <w:szCs w:val="28"/>
                </w:rPr>
              </w:pPr>
              <w:r>
                <w:fldChar w:fldCharType="begin"/>
              </w:r>
              <w:r>
                <w:instrText xml:space="preserve"> HYPERLINK \l "_Toc27103" </w:instrText>
              </w:r>
              <w:r>
                <w:fldChar w:fldCharType="separate"/>
              </w:r>
              <w:r>
                <w:rPr>
                  <w:rFonts w:hint="eastAsia" w:asciiTheme="minorEastAsia" w:hAnsiTheme="minorEastAsia" w:cstheme="minorEastAsia"/>
                  <w:sz w:val="28"/>
                  <w:szCs w:val="28"/>
                </w:rPr>
                <w:t>4.3.1.4.5设计洪水计算成果合理性分析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_Toc27103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"_Toc4312" </w:instrText>
              </w:r>
              <w:r>
                <w:fldChar w:fldCharType="separate"/>
              </w:r>
              <w:r>
                <w:rPr>
                  <w:rFonts w:hint="eastAsia" w:asciiTheme="minorEastAsia" w:hAnsiTheme="minorEastAsia" w:cstheme="minorEastAsia"/>
                  <w:sz w:val="28"/>
                  <w:szCs w:val="28"/>
                </w:rPr>
                <w:t>4.3.2 洪水位标图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_Toc4312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"_Toc16673"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_Toc16673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"_Toc10968"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_Toc10968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"_Toc32622"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_Toc32622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"_Toc2090" </w:instrText>
              </w:r>
              <w:r>
                <w:fldChar w:fldCharType="separate"/>
              </w:r>
              <w:r>
                <w:rPr>
                  <w:rFonts w:hint="eastAsia" w:asciiTheme="minorEastAsia" w:hAnsiTheme="minorEastAsia" w:cstheme="minorEastAsia"/>
                  <w:sz w:val="28"/>
                  <w:szCs w:val="28"/>
                </w:rPr>
                <w:t>5 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_Toc2090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"_Toc30330" </w:instrText>
              </w:r>
              <w:r>
                <w:fldChar w:fldCharType="separate"/>
              </w:r>
              <w:r>
                <w:rPr>
                  <w:rFonts w:hint="eastAsia" w:asciiTheme="minorEastAsia" w:hAnsiTheme="minorEastAsia" w:cstheme="minorEastAsia"/>
                  <w:sz w:val="28"/>
                  <w:szCs w:val="28"/>
                </w:rPr>
                <w:t>5.1 无堤防的河道管理范围划界标准和依据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_Toc30330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"_Toc14149"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_Toc14149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"_Toc3499" </w:instrText>
              </w:r>
              <w:r>
                <w:fldChar w:fldCharType="separate"/>
              </w:r>
              <w:r>
                <w:rPr>
                  <w:rFonts w:hint="eastAsia" w:asciiTheme="minorEastAsia" w:hAnsiTheme="minorEastAsia" w:cstheme="minorEastAsia"/>
                  <w:sz w:val="28"/>
                  <w:szCs w:val="28"/>
                </w:rPr>
                <w:t>6.6.1界桩制作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_Toc3499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"_Toc22554" </w:instrText>
              </w:r>
              <w:r>
                <w:fldChar w:fldCharType="separate"/>
              </w:r>
              <w:r>
                <w:rPr>
                  <w:rFonts w:hint="eastAsia" w:asciiTheme="minorEastAsia" w:hAnsiTheme="minorEastAsia" w:cstheme="minorEastAsia"/>
                  <w:sz w:val="28"/>
                  <w:szCs w:val="28"/>
                </w:rPr>
                <w:t>6.6.2界桩埋设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_Toc22554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"_Toc2074" </w:instrText>
              </w:r>
              <w:r>
                <w:fldChar w:fldCharType="separate"/>
              </w:r>
              <w:r>
                <w:rPr>
                  <w:rFonts w:hint="eastAsia" w:asciiTheme="minorEastAsia" w:hAnsiTheme="minorEastAsia" w:cstheme="minorEastAsia"/>
                  <w:sz w:val="28"/>
                  <w:szCs w:val="28"/>
                </w:rPr>
                <w:t>6.6.3告示牌制作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_Toc2074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"_Toc8607" </w:instrText>
              </w:r>
              <w:r>
                <w:fldChar w:fldCharType="separate"/>
              </w:r>
              <w:r>
                <w:rPr>
                  <w:rFonts w:hint="eastAsia" w:asciiTheme="minorEastAsia" w:hAnsiTheme="minorEastAsia" w:cstheme="minorEastAsia"/>
                  <w:sz w:val="28"/>
                  <w:szCs w:val="28"/>
                </w:rPr>
                <w:t>6.6.4告示牌埋设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_Toc8607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600" w:lineRule="exact"/>
                <w:rPr>
                  <w:rFonts w:asciiTheme="minorEastAsia" w:hAnsiTheme="minorEastAsia" w:cstheme="minorEastAsia"/>
                  <w:sz w:val="28"/>
                  <w:szCs w:val="28"/>
                </w:rPr>
              </w:pPr>
              <w:r>
                <w:fldChar w:fldCharType="begin"/>
              </w:r>
              <w:r>
                <w:instrText xml:space="preserve"> HYPERLINK \l "_Toc4664" </w:instrText>
              </w:r>
              <w:r>
                <w:fldChar w:fldCharType="separate"/>
              </w:r>
              <w:r>
                <w:rPr>
                  <w:rFonts w:hint="eastAsia" w:asciiTheme="minorEastAsia" w:hAnsiTheme="minorEastAsia" w:cstheme="minorEastAsia"/>
                  <w:sz w:val="28"/>
                  <w:szCs w:val="28"/>
                </w:rPr>
                <w:t>7 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_Toc4664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tabs>
                  <w:tab w:val="right" w:leader="dot" w:pos="8306"/>
                </w:tabs>
                <w:rPr>
                  <w:sz w:val="28"/>
                  <w:szCs w:val="28"/>
                </w:rPr>
                <w:sectPr>
                  <w:footerReference r:id="rId4" w:type="default"/>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bCs/>
                  <w:sz w:val="28"/>
                  <w:szCs w:val="28"/>
                  <w:lang w:val="zh-CN"/>
                </w:rPr>
                <w:fldChar w:fldCharType="end"/>
              </w:r>
            </w:p>
          </w:sdtContent>
        </w:sdt>
      </w:sdtContent>
    </w:sdt>
    <w:p>
      <w:pPr>
        <w:pStyle w:val="3"/>
        <w:ind w:left="0" w:firstLine="0"/>
      </w:pPr>
      <w:bookmarkStart w:id="0" w:name="_Toc15228261"/>
      <w:bookmarkStart w:id="1" w:name="_Toc18584"/>
      <w:bookmarkStart w:id="2" w:name="_Toc15233122"/>
      <w:r>
        <w:rPr>
          <w:rFonts w:hint="eastAsia"/>
        </w:rPr>
        <w:t>划界工作背景</w:t>
      </w:r>
      <w:bookmarkEnd w:id="0"/>
      <w:bookmarkEnd w:id="1"/>
      <w:bookmarkEnd w:id="2"/>
    </w:p>
    <w:p>
      <w:pPr>
        <w:pStyle w:val="45"/>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5"/>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5"/>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5"/>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5"/>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5"/>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5"/>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5"/>
        <w:ind w:firstLine="560"/>
        <w:rPr>
          <w:rFonts w:ascii="宋体" w:hAnsi="宋体" w:eastAsia="宋体" w:cs="宋体"/>
        </w:rPr>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宜阳河道县河段管理范围划定方案》的编制</w:t>
      </w:r>
      <w:r>
        <w:rPr>
          <w:rFonts w:hint="eastAsia" w:ascii="宋体" w:hAnsi="宋体" w:eastAsia="宋体" w:cs="宋体"/>
        </w:rPr>
        <w:t>。</w:t>
      </w:r>
    </w:p>
    <w:p>
      <w:pPr>
        <w:pStyle w:val="3"/>
        <w:ind w:left="0" w:firstLine="0"/>
      </w:pPr>
      <w:bookmarkStart w:id="3" w:name="_Toc30019"/>
      <w:bookmarkStart w:id="4" w:name="_Toc15233123"/>
      <w:bookmarkStart w:id="5" w:name="_Toc15228262"/>
      <w:r>
        <w:rPr>
          <w:rFonts w:hint="eastAsia"/>
        </w:rPr>
        <w:t>河段基本情况</w:t>
      </w:r>
      <w:bookmarkEnd w:id="3"/>
      <w:bookmarkEnd w:id="4"/>
      <w:bookmarkEnd w:id="5"/>
    </w:p>
    <w:p>
      <w:pPr>
        <w:spacing w:line="400" w:lineRule="atLeast"/>
        <w:ind w:firstLine="560" w:firstLineChars="200"/>
        <w:rPr>
          <w:rFonts w:ascii="宋体" w:hAnsi="宋体" w:eastAsia="宋体" w:cs="宋体"/>
          <w:sz w:val="28"/>
          <w:szCs w:val="28"/>
        </w:rPr>
      </w:pPr>
      <w:r>
        <w:rPr>
          <w:rFonts w:hint="eastAsia" w:ascii="宋体" w:hAnsi="宋体" w:eastAsia="宋体" w:cs="宋体"/>
          <w:sz w:val="28"/>
          <w:szCs w:val="28"/>
        </w:rPr>
        <w:t>宜阳河发源于道县廊洞水库。境内水系发育，溪河纵横交错，宜阳河是宜江的一级支流，由北向南流经廊洞水库、廊洞村、司空岩村、社湾村、棠下村、虎头牌村。于石下渡注入宜江。河流全长12.9km，河流平均宽度32.48m，平均水深0.8米，县内流域面积约73.8km</w:t>
      </w:r>
      <w:r>
        <w:rPr>
          <w:rFonts w:hint="eastAsia" w:ascii="宋体" w:hAnsi="宋体" w:eastAsia="宋体" w:cs="宋体"/>
          <w:sz w:val="28"/>
          <w:szCs w:val="28"/>
          <w:vertAlign w:val="superscript"/>
        </w:rPr>
        <w:t>2</w:t>
      </w:r>
      <w:r>
        <w:rPr>
          <w:rFonts w:hint="eastAsia" w:ascii="宋体" w:hAnsi="宋体" w:eastAsia="宋体" w:cs="宋体"/>
          <w:sz w:val="28"/>
          <w:szCs w:val="28"/>
        </w:rPr>
        <w:t>，地理坐标为东经111°58′--111°60′，北纬25°58′--25°69′之间，该流域属亚热带湿润地区，具有气候温和、四季分明、春夏之间雨量集中，秋季多旱，暑热期长等气候特点。宜阳河道县河段流域概况见图1。</w:t>
      </w:r>
    </w:p>
    <w:p>
      <w:pPr>
        <w:pStyle w:val="45"/>
        <w:ind w:firstLine="560"/>
        <w:jc w:val="left"/>
      </w:pPr>
      <w:r>
        <w:rPr>
          <w:rFonts w:hint="eastAsia"/>
        </w:rPr>
        <w:drawing>
          <wp:inline distT="0" distB="0" distL="114300" distR="114300">
            <wp:extent cx="5114925" cy="4133850"/>
            <wp:effectExtent l="0" t="0" r="9525" b="0"/>
            <wp:docPr id="1" name="图片 1" descr="宜阳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宜阳河"/>
                    <pic:cNvPicPr>
                      <a:picLocks noChangeAspect="1"/>
                    </pic:cNvPicPr>
                  </pic:nvPicPr>
                  <pic:blipFill>
                    <a:blip r:embed="rId13"/>
                    <a:stretch>
                      <a:fillRect/>
                    </a:stretch>
                  </pic:blipFill>
                  <pic:spPr>
                    <a:xfrm>
                      <a:off x="0" y="0"/>
                      <a:ext cx="5114925" cy="4133850"/>
                    </a:xfrm>
                    <a:prstGeom prst="rect">
                      <a:avLst/>
                    </a:prstGeom>
                  </pic:spPr>
                </pic:pic>
              </a:graphicData>
            </a:graphic>
          </wp:inline>
        </w:drawing>
      </w:r>
    </w:p>
    <w:p>
      <w:pPr>
        <w:pStyle w:val="45"/>
        <w:ind w:firstLine="560"/>
        <w:jc w:val="center"/>
      </w:pPr>
      <w:r>
        <w:rPr>
          <w:rFonts w:hint="eastAsia"/>
        </w:rPr>
        <w:t>图1    宜阳河道县河段流域概况图</w:t>
      </w:r>
    </w:p>
    <w:p>
      <w:pPr>
        <w:pStyle w:val="4"/>
        <w:ind w:left="0" w:firstLine="0"/>
      </w:pPr>
      <w:bookmarkStart w:id="6" w:name="_Toc15233124"/>
      <w:bookmarkStart w:id="7" w:name="_Toc7104"/>
      <w:bookmarkStart w:id="8" w:name="_Toc15228263"/>
      <w:r>
        <w:rPr>
          <w:rFonts w:hint="eastAsia"/>
        </w:rPr>
        <w:t>河段洪水位情况</w:t>
      </w:r>
      <w:bookmarkEnd w:id="6"/>
      <w:bookmarkEnd w:id="7"/>
      <w:bookmarkEnd w:id="8"/>
    </w:p>
    <w:p>
      <w:pPr>
        <w:pStyle w:val="45"/>
        <w:ind w:firstLine="560"/>
        <w:rPr>
          <w:rFonts w:ascii="宋体" w:hAnsi="宋体" w:eastAsia="宋体" w:cs="Times New Roman"/>
        </w:rPr>
      </w:pPr>
      <w:r>
        <w:rPr>
          <w:rFonts w:hint="eastAsia" w:ascii="宋体" w:hAnsi="宋体" w:eastAsia="宋体" w:cs="Times New Roman"/>
        </w:rPr>
        <w:t>宜阳河流域主要受东南季风的影响，春夏之间雨量集中，秋季多旱，多年平均降水量为1514.5mm，其中4-6月份降水量最多，约占全年降水总量的46.5%。</w:t>
      </w:r>
    </w:p>
    <w:p>
      <w:pPr>
        <w:pStyle w:val="45"/>
        <w:ind w:firstLine="560"/>
        <w:rPr>
          <w:rFonts w:ascii="宋体" w:hAnsi="宋体" w:eastAsia="宋体" w:cs="宋体"/>
          <w:szCs w:val="28"/>
        </w:rPr>
      </w:pPr>
      <w:r>
        <w:rPr>
          <w:rFonts w:hint="eastAsia" w:ascii="宋体" w:hAnsi="宋体" w:eastAsia="宋体" w:cs="Times New Roman"/>
        </w:rPr>
        <w:t>宜阳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r>
        <w:rPr>
          <w:rFonts w:hint="eastAsia" w:ascii="宋体" w:hAnsi="宋体" w:eastAsia="宋体" w:cs="宋体"/>
          <w:szCs w:val="28"/>
        </w:rPr>
        <w:t>。</w:t>
      </w:r>
    </w:p>
    <w:p>
      <w:pPr>
        <w:spacing w:before="156" w:beforeLines="50" w:line="360" w:lineRule="auto"/>
        <w:ind w:firstLine="560" w:firstLineChars="200"/>
        <w:rPr>
          <w:rFonts w:ascii="宋体" w:hAnsi="宋体" w:eastAsia="宋体" w:cs="Times New Roman"/>
          <w:sz w:val="28"/>
        </w:rPr>
      </w:pPr>
      <w:r>
        <w:rPr>
          <w:rFonts w:hint="eastAsia" w:ascii="宋体" w:hAnsi="宋体" w:eastAsia="宋体" w:cs="Times New Roman"/>
          <w:sz w:val="28"/>
        </w:rPr>
        <w:t>宜阳河道县河段全长12.9km，设计洪水位采用本次计算的设计洪水，以控制断面回水推算求得设计洪水位，根据河道水力学水面曲线计算公式：</w: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1.05pt;width:250.9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78"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2.05pt;width:10.2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2.05pt;width:10.2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1.15pt;width:11.8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2.05pt;width:10.2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2">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2.05pt;width:10.2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23">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9pt;width:12.9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asciiTheme="minorEastAsia" w:hAnsiTheme="minorEastAsia" w:cstheme="minorEastAsia"/>
          <w:sz w:val="28"/>
          <w:szCs w:val="28"/>
        </w:rPr>
        <w:t>——河段平均局部水头损失系数；</w:t>
      </w:r>
    </w:p>
    <w:p>
      <w:pPr>
        <w:snapToGrid w:val="0"/>
        <w:spacing w:before="78" w:beforeLines="25" w:line="360" w:lineRule="auto"/>
        <w:ind w:right="31" w:rightChars="15" w:firstLine="565" w:firstLineChars="202"/>
        <w:rPr>
          <w:rFonts w:asciiTheme="minorEastAsia" w:hAnsiTheme="minorEastAsia" w:cstheme="minorEastAsia"/>
          <w:sz w:val="28"/>
          <w:szCs w:val="28"/>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pacing w:before="156" w:beforeLines="50" w:line="360" w:lineRule="auto"/>
        <w:ind w:firstLine="560" w:firstLineChars="200"/>
        <w:rPr>
          <w:rFonts w:hAnsi="宋体"/>
          <w:spacing w:val="-6"/>
          <w:sz w:val="24"/>
        </w:rPr>
      </w:pPr>
      <w:r>
        <w:rPr>
          <w:rFonts w:hint="eastAsia" w:ascii="宋体" w:hAnsi="宋体" w:eastAsia="宋体" w:cs="Times New Roman"/>
          <w:sz w:val="28"/>
        </w:rPr>
        <w:t>采用程序计算宜阳河道县河段划定的管理范围各个断面的设计洪水位，计算结果见表1。</w:t>
      </w: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1</w:t>
      </w:r>
      <w:r>
        <w:rPr>
          <w:rFonts w:ascii="Times New Roman" w:hAnsi="Times New Roman" w:eastAsia="宋体" w:cs="Times New Roman"/>
          <w:b/>
          <w:szCs w:val="21"/>
        </w:rPr>
        <w:t xml:space="preserve"> </w:t>
      </w:r>
      <w:r>
        <w:rPr>
          <w:rFonts w:hint="eastAsia" w:cs="Times New Roman"/>
          <w:b/>
          <w:szCs w:val="21"/>
        </w:rPr>
        <w:t xml:space="preserve">                 </w:t>
      </w:r>
      <w:r>
        <w:rPr>
          <w:rFonts w:hint="eastAsia" w:cs="Times New Roman"/>
          <w:b/>
          <w:sz w:val="24"/>
          <w:szCs w:val="24"/>
        </w:rPr>
        <w:t>宜阳河道县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2"/>
        <w:tblW w:w="8657"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373"/>
        <w:gridCol w:w="1773"/>
        <w:gridCol w:w="1373"/>
        <w:gridCol w:w="1392"/>
        <w:gridCol w:w="1373"/>
        <w:gridCol w:w="1373"/>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1" w:hRule="atLeast"/>
        </w:trPr>
        <w:tc>
          <w:tcPr>
            <w:tcW w:w="1373" w:type="dxa"/>
            <w:vMerge w:val="restart"/>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断面编号</w:t>
            </w:r>
          </w:p>
        </w:tc>
        <w:tc>
          <w:tcPr>
            <w:tcW w:w="1773" w:type="dxa"/>
            <w:vMerge w:val="restart"/>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地名</w:t>
            </w:r>
          </w:p>
        </w:tc>
        <w:tc>
          <w:tcPr>
            <w:tcW w:w="1373" w:type="dxa"/>
            <w:vMerge w:val="restart"/>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间距(m)</w:t>
            </w:r>
          </w:p>
        </w:tc>
        <w:tc>
          <w:tcPr>
            <w:tcW w:w="1392" w:type="dxa"/>
            <w:vMerge w:val="restart"/>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累距(m)</w:t>
            </w:r>
          </w:p>
        </w:tc>
        <w:tc>
          <w:tcPr>
            <w:tcW w:w="1373" w:type="dxa"/>
            <w:vMerge w:val="restart"/>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设计洪水标准</w:t>
            </w:r>
          </w:p>
        </w:tc>
        <w:tc>
          <w:tcPr>
            <w:tcW w:w="1373" w:type="dxa"/>
            <w:vMerge w:val="restart"/>
            <w:tcBorders>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10年一遇设计洪水位</w:t>
            </w:r>
            <w:r>
              <w:rPr>
                <w:rFonts w:eastAsia="宋体"/>
                <w:lang w:bidi="ar"/>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675" w:hRule="atLeast"/>
        </w:trPr>
        <w:tc>
          <w:tcPr>
            <w:tcW w:w="1373" w:type="dxa"/>
            <w:vMerge w:val="continue"/>
            <w:tcBorders>
              <w:top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c>
          <w:tcPr>
            <w:tcW w:w="1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c>
          <w:tcPr>
            <w:tcW w:w="13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c>
          <w:tcPr>
            <w:tcW w:w="139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c>
          <w:tcPr>
            <w:tcW w:w="13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c>
          <w:tcPr>
            <w:tcW w:w="1373" w:type="dxa"/>
            <w:vMerge w:val="continue"/>
            <w:tcBorders>
              <w:top w:val="single" w:color="000000" w:sz="4" w:space="0"/>
              <w:left w:val="single" w:color="000000" w:sz="4" w:space="0"/>
              <w:bottom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宜阳河河口</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176.25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新阳</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161</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161</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176.87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339</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178.18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鸡西村</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179.39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1500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181.84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车头</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184.14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2500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186.93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直洲</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3000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189.49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CS09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192.08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玉岗</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4500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198.57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204.76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斯屋</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5500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208.26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6000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213.92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福田寺坝下</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6500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217.67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福田寺坝上</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7000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219.36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冷家洞</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7020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219.48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杨家</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480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7500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223.97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500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8000</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228.54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CS19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864</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8864</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240.33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CS20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廊洞</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772</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9636</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243.94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CS21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460</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10096</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244.02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CS22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823</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10919</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248.62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CS23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廊洞水库坝下</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35</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10954</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249.00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CS24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廊洞水库坝上</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241</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11195</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lang w:bidi="ar"/>
              </w:rPr>
              <w:t>284.84</w:t>
            </w:r>
            <w:r>
              <w:rPr>
                <w:rFonts w:ascii="Times New Roman" w:hAnsi="Times New Roman" w:eastAsia="宋体" w:cs="Times New Roman"/>
                <w:color w:val="000000"/>
                <w:kern w:val="0"/>
                <w:szCs w:val="21"/>
                <w:lang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9" w:hRule="atLeast"/>
        </w:trPr>
        <w:tc>
          <w:tcPr>
            <w:tcW w:w="1373" w:type="dxa"/>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CS25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eastAsia="宋体" w:cs="宋体"/>
                <w:color w:val="000000"/>
                <w:szCs w:val="21"/>
              </w:rPr>
            </w:pP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256</w:t>
            </w:r>
          </w:p>
        </w:tc>
        <w:tc>
          <w:tcPr>
            <w:tcW w:w="1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11451</w:t>
            </w:r>
          </w:p>
        </w:tc>
        <w:tc>
          <w:tcPr>
            <w:tcW w:w="13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bottom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lang w:bidi="ar"/>
              </w:rPr>
              <w:t>284.84</w:t>
            </w:r>
            <w:r>
              <w:rPr>
                <w:rFonts w:ascii="Times New Roman" w:hAnsi="Times New Roman" w:eastAsia="宋体" w:cs="Times New Roman"/>
                <w:color w:val="000000"/>
                <w:kern w:val="0"/>
                <w:szCs w:val="21"/>
                <w:lang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59" w:hRule="atLeast"/>
        </w:trPr>
        <w:tc>
          <w:tcPr>
            <w:tcW w:w="1373" w:type="dxa"/>
            <w:tcBorders>
              <w:top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CS26</w:t>
            </w:r>
          </w:p>
        </w:tc>
        <w:tc>
          <w:tcPr>
            <w:tcW w:w="1773" w:type="dxa"/>
            <w:tcBorders>
              <w:top w:val="single" w:color="000000" w:sz="4" w:space="0"/>
              <w:left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73" w:type="dxa"/>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1397</w:t>
            </w:r>
          </w:p>
        </w:tc>
        <w:tc>
          <w:tcPr>
            <w:tcW w:w="1392" w:type="dxa"/>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12</w:t>
            </w:r>
            <w:r>
              <w:rPr>
                <w:rFonts w:hint="eastAsia" w:ascii="Times New Roman" w:hAnsi="Times New Roman" w:eastAsia="宋体" w:cs="Times New Roman"/>
                <w:color w:val="000000"/>
                <w:kern w:val="0"/>
                <w:szCs w:val="21"/>
                <w:lang w:bidi="ar"/>
              </w:rPr>
              <w:t>910</w:t>
            </w:r>
          </w:p>
        </w:tc>
        <w:tc>
          <w:tcPr>
            <w:tcW w:w="1373" w:type="dxa"/>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373" w:type="dxa"/>
            <w:tcBorders>
              <w:top w:val="single" w:color="000000" w:sz="4" w:space="0"/>
              <w:lef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lang w:bidi="ar"/>
              </w:rPr>
              <w:t>284.84</w:t>
            </w:r>
            <w:r>
              <w:rPr>
                <w:rFonts w:ascii="Times New Roman" w:hAnsi="Times New Roman" w:eastAsia="宋体" w:cs="Times New Roman"/>
                <w:color w:val="000000"/>
                <w:kern w:val="0"/>
                <w:szCs w:val="21"/>
                <w:lang w:bidi="ar"/>
              </w:rPr>
              <w:t xml:space="preserve"> </w:t>
            </w:r>
          </w:p>
        </w:tc>
      </w:tr>
    </w:tbl>
    <w:p>
      <w:pPr>
        <w:pStyle w:val="4"/>
        <w:spacing w:after="0" w:line="415" w:lineRule="auto"/>
        <w:ind w:left="0" w:firstLine="0"/>
      </w:pPr>
      <w:bookmarkStart w:id="9" w:name="_Toc26241"/>
      <w:bookmarkStart w:id="10" w:name="_Toc15228264"/>
      <w:bookmarkStart w:id="11" w:name="_Toc15233125"/>
      <w:bookmarkStart w:id="12" w:name="_Hlk534276517"/>
      <w:r>
        <w:rPr>
          <w:rFonts w:hint="eastAsia"/>
        </w:rPr>
        <w:t>河段岸线情况</w:t>
      </w:r>
      <w:bookmarkEnd w:id="9"/>
      <w:bookmarkEnd w:id="10"/>
      <w:bookmarkEnd w:id="11"/>
    </w:p>
    <w:p>
      <w:pPr>
        <w:pStyle w:val="45"/>
        <w:spacing w:line="520" w:lineRule="exact"/>
        <w:ind w:firstLine="560"/>
        <w:rPr>
          <w:rFonts w:ascii="宋体" w:hAnsi="宋体" w:eastAsia="宋体" w:cs="Times New Roman"/>
        </w:rPr>
      </w:pPr>
      <w:r>
        <w:rPr>
          <w:rFonts w:hint="eastAsia" w:ascii="宋体" w:hAnsi="宋体" w:eastAsia="宋体" w:cs="Times New Roman"/>
        </w:rPr>
        <w:t>宜阳河道县河段两岸大部分河道为砂石加固的护岸，仅螺丝塘至坳子上段未进行加固处理，为天然河道。具体情况见表2。</w:t>
      </w:r>
    </w:p>
    <w:p>
      <w:pPr>
        <w:pStyle w:val="45"/>
        <w:spacing w:line="520" w:lineRule="exact"/>
        <w:ind w:firstLine="560"/>
        <w:rPr>
          <w:rFonts w:ascii="宋体" w:hAnsi="宋体" w:eastAsia="宋体" w:cs="Times New Roman"/>
        </w:rPr>
      </w:pPr>
    </w:p>
    <w:p>
      <w:pPr>
        <w:snapToGrid w:val="0"/>
        <w:spacing w:before="156" w:beforeLines="50" w:line="360" w:lineRule="auto"/>
        <w:rPr>
          <w:rFonts w:ascii="Times New Roman" w:hAnsi="Times New Roman" w:eastAsia="宋体" w:cs="Times New Roman"/>
          <w:b/>
          <w:szCs w:val="21"/>
        </w:rPr>
      </w:pPr>
      <w:r>
        <w:rPr>
          <w:rFonts w:hint="eastAsia" w:ascii="Times New Roman" w:hAnsi="Times New Roman" w:eastAsia="宋体" w:cs="Times New Roman"/>
          <w:b/>
          <w:szCs w:val="21"/>
        </w:rPr>
        <w:t>表2                       宜阳河道县河段岸线情况</w:t>
      </w:r>
    </w:p>
    <w:tbl>
      <w:tblPr>
        <w:tblStyle w:val="22"/>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856"/>
        <w:gridCol w:w="1007"/>
        <w:gridCol w:w="847"/>
        <w:gridCol w:w="991"/>
        <w:gridCol w:w="561"/>
        <w:gridCol w:w="634"/>
        <w:gridCol w:w="704"/>
        <w:gridCol w:w="704"/>
        <w:gridCol w:w="396"/>
        <w:gridCol w:w="607"/>
        <w:gridCol w:w="711"/>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jc w:val="center"/>
        </w:trPr>
        <w:tc>
          <w:tcPr>
            <w:tcW w:w="454" w:type="dxa"/>
            <w:vMerge w:val="restart"/>
            <w:vAlign w:val="center"/>
          </w:tcPr>
          <w:p>
            <w:pPr>
              <w:pStyle w:val="45"/>
              <w:ind w:firstLine="0" w:firstLineChars="0"/>
              <w:jc w:val="center"/>
              <w:rPr>
                <w:sz w:val="21"/>
                <w:szCs w:val="21"/>
              </w:rPr>
            </w:pPr>
            <w:r>
              <w:rPr>
                <w:rFonts w:hint="eastAsia"/>
                <w:sz w:val="21"/>
                <w:szCs w:val="21"/>
              </w:rPr>
              <w:t>岸别</w:t>
            </w:r>
          </w:p>
        </w:tc>
        <w:tc>
          <w:tcPr>
            <w:tcW w:w="1863" w:type="dxa"/>
            <w:gridSpan w:val="2"/>
            <w:vAlign w:val="center"/>
          </w:tcPr>
          <w:p>
            <w:pPr>
              <w:pStyle w:val="45"/>
              <w:ind w:firstLine="0" w:firstLineChars="0"/>
              <w:jc w:val="center"/>
              <w:rPr>
                <w:sz w:val="21"/>
                <w:szCs w:val="21"/>
              </w:rPr>
            </w:pPr>
            <w:r>
              <w:rPr>
                <w:rFonts w:hint="eastAsia"/>
                <w:sz w:val="21"/>
                <w:szCs w:val="21"/>
              </w:rPr>
              <w:t>起点</w:t>
            </w:r>
          </w:p>
        </w:tc>
        <w:tc>
          <w:tcPr>
            <w:tcW w:w="1838" w:type="dxa"/>
            <w:gridSpan w:val="2"/>
            <w:vAlign w:val="center"/>
          </w:tcPr>
          <w:p>
            <w:pPr>
              <w:pStyle w:val="45"/>
              <w:ind w:firstLine="0" w:firstLineChars="0"/>
              <w:jc w:val="center"/>
              <w:rPr>
                <w:sz w:val="21"/>
                <w:szCs w:val="21"/>
              </w:rPr>
            </w:pPr>
            <w:r>
              <w:rPr>
                <w:rFonts w:hint="eastAsia"/>
                <w:sz w:val="21"/>
                <w:szCs w:val="21"/>
              </w:rPr>
              <w:t>终点</w:t>
            </w:r>
          </w:p>
        </w:tc>
        <w:tc>
          <w:tcPr>
            <w:tcW w:w="2999" w:type="dxa"/>
            <w:gridSpan w:val="5"/>
            <w:vAlign w:val="center"/>
          </w:tcPr>
          <w:p>
            <w:pPr>
              <w:pStyle w:val="45"/>
              <w:ind w:firstLine="0" w:firstLineChars="0"/>
              <w:jc w:val="center"/>
              <w:rPr>
                <w:sz w:val="21"/>
                <w:szCs w:val="21"/>
              </w:rPr>
            </w:pPr>
            <w:r>
              <w:rPr>
                <w:rFonts w:hint="eastAsia"/>
                <w:sz w:val="21"/>
                <w:szCs w:val="21"/>
              </w:rPr>
              <w:t>有堤防</w:t>
            </w:r>
          </w:p>
        </w:tc>
        <w:tc>
          <w:tcPr>
            <w:tcW w:w="1318" w:type="dxa"/>
            <w:gridSpan w:val="2"/>
            <w:vAlign w:val="center"/>
          </w:tcPr>
          <w:p>
            <w:pPr>
              <w:pStyle w:val="45"/>
              <w:ind w:firstLine="0" w:firstLineChars="0"/>
              <w:jc w:val="center"/>
              <w:rPr>
                <w:sz w:val="21"/>
                <w:szCs w:val="21"/>
              </w:rPr>
            </w:pPr>
            <w:r>
              <w:rPr>
                <w:rFonts w:hint="eastAsia"/>
                <w:sz w:val="21"/>
                <w:szCs w:val="21"/>
              </w:rPr>
              <w:t>无堤防</w:t>
            </w:r>
          </w:p>
        </w:tc>
        <w:tc>
          <w:tcPr>
            <w:tcW w:w="486" w:type="dxa"/>
            <w:vAlign w:val="center"/>
          </w:tcPr>
          <w:p>
            <w:pPr>
              <w:pStyle w:val="45"/>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blHeader/>
          <w:jc w:val="center"/>
        </w:trPr>
        <w:tc>
          <w:tcPr>
            <w:tcW w:w="454" w:type="dxa"/>
            <w:vMerge w:val="continue"/>
            <w:vAlign w:val="center"/>
          </w:tcPr>
          <w:p>
            <w:pPr>
              <w:pStyle w:val="45"/>
              <w:ind w:firstLine="0" w:firstLineChars="0"/>
              <w:jc w:val="center"/>
              <w:rPr>
                <w:sz w:val="21"/>
                <w:szCs w:val="21"/>
              </w:rPr>
            </w:pPr>
          </w:p>
        </w:tc>
        <w:tc>
          <w:tcPr>
            <w:tcW w:w="856" w:type="dxa"/>
            <w:vAlign w:val="center"/>
          </w:tcPr>
          <w:p>
            <w:pPr>
              <w:pStyle w:val="45"/>
              <w:ind w:firstLine="0" w:firstLineChars="0"/>
              <w:jc w:val="center"/>
              <w:rPr>
                <w:sz w:val="21"/>
                <w:szCs w:val="21"/>
              </w:rPr>
            </w:pPr>
            <w:r>
              <w:rPr>
                <w:rFonts w:hint="eastAsia"/>
                <w:sz w:val="21"/>
                <w:szCs w:val="21"/>
              </w:rPr>
              <w:t>河道里程数</w:t>
            </w:r>
          </w:p>
          <w:p>
            <w:pPr>
              <w:pStyle w:val="45"/>
              <w:ind w:firstLine="0" w:firstLineChars="0"/>
              <w:jc w:val="center"/>
              <w:rPr>
                <w:sz w:val="21"/>
                <w:szCs w:val="21"/>
              </w:rPr>
            </w:pPr>
            <w:r>
              <w:rPr>
                <w:rFonts w:hint="eastAsia"/>
                <w:sz w:val="21"/>
                <w:szCs w:val="21"/>
              </w:rPr>
              <w:t>(km)</w:t>
            </w:r>
          </w:p>
        </w:tc>
        <w:tc>
          <w:tcPr>
            <w:tcW w:w="1007" w:type="dxa"/>
            <w:vAlign w:val="center"/>
          </w:tcPr>
          <w:p>
            <w:pPr>
              <w:pStyle w:val="45"/>
              <w:ind w:firstLine="0" w:firstLineChars="0"/>
              <w:jc w:val="center"/>
              <w:rPr>
                <w:sz w:val="21"/>
                <w:szCs w:val="21"/>
              </w:rPr>
            </w:pPr>
            <w:r>
              <w:rPr>
                <w:rFonts w:hint="eastAsia"/>
                <w:sz w:val="21"/>
                <w:szCs w:val="21"/>
              </w:rPr>
              <w:t>点位坐标</w:t>
            </w:r>
          </w:p>
        </w:tc>
        <w:tc>
          <w:tcPr>
            <w:tcW w:w="847" w:type="dxa"/>
            <w:vAlign w:val="center"/>
          </w:tcPr>
          <w:p>
            <w:pPr>
              <w:pStyle w:val="45"/>
              <w:ind w:firstLine="0" w:firstLineChars="0"/>
              <w:jc w:val="center"/>
              <w:rPr>
                <w:sz w:val="21"/>
                <w:szCs w:val="21"/>
              </w:rPr>
            </w:pPr>
            <w:r>
              <w:rPr>
                <w:rFonts w:hint="eastAsia"/>
                <w:sz w:val="21"/>
                <w:szCs w:val="21"/>
              </w:rPr>
              <w:t>河道里程数</w:t>
            </w:r>
          </w:p>
          <w:p>
            <w:pPr>
              <w:pStyle w:val="45"/>
              <w:ind w:firstLine="0" w:firstLineChars="0"/>
              <w:jc w:val="center"/>
              <w:rPr>
                <w:sz w:val="21"/>
                <w:szCs w:val="21"/>
              </w:rPr>
            </w:pPr>
            <w:r>
              <w:rPr>
                <w:rFonts w:hint="eastAsia"/>
                <w:sz w:val="21"/>
                <w:szCs w:val="21"/>
              </w:rPr>
              <w:t>(km)</w:t>
            </w:r>
          </w:p>
        </w:tc>
        <w:tc>
          <w:tcPr>
            <w:tcW w:w="991" w:type="dxa"/>
            <w:vAlign w:val="center"/>
          </w:tcPr>
          <w:p>
            <w:pPr>
              <w:pStyle w:val="45"/>
              <w:ind w:firstLine="0" w:firstLineChars="0"/>
              <w:jc w:val="center"/>
              <w:rPr>
                <w:sz w:val="21"/>
                <w:szCs w:val="21"/>
              </w:rPr>
            </w:pPr>
            <w:r>
              <w:rPr>
                <w:rFonts w:hint="eastAsia"/>
                <w:sz w:val="21"/>
                <w:szCs w:val="21"/>
              </w:rPr>
              <w:t>点位坐标</w:t>
            </w:r>
          </w:p>
        </w:tc>
        <w:tc>
          <w:tcPr>
            <w:tcW w:w="561" w:type="dxa"/>
            <w:vAlign w:val="center"/>
          </w:tcPr>
          <w:p>
            <w:pPr>
              <w:pStyle w:val="45"/>
              <w:ind w:firstLine="0" w:firstLineChars="0"/>
              <w:jc w:val="center"/>
              <w:rPr>
                <w:sz w:val="21"/>
                <w:szCs w:val="21"/>
              </w:rPr>
            </w:pPr>
            <w:r>
              <w:rPr>
                <w:rFonts w:hint="eastAsia"/>
                <w:sz w:val="21"/>
                <w:szCs w:val="21"/>
              </w:rPr>
              <w:t>堤防等级</w:t>
            </w:r>
          </w:p>
        </w:tc>
        <w:tc>
          <w:tcPr>
            <w:tcW w:w="634" w:type="dxa"/>
            <w:vAlign w:val="center"/>
          </w:tcPr>
          <w:p>
            <w:pPr>
              <w:pStyle w:val="45"/>
              <w:ind w:firstLine="0" w:firstLineChars="0"/>
              <w:jc w:val="center"/>
              <w:rPr>
                <w:sz w:val="21"/>
                <w:szCs w:val="21"/>
              </w:rPr>
            </w:pPr>
            <w:r>
              <w:rPr>
                <w:rFonts w:hint="eastAsia"/>
                <w:sz w:val="21"/>
                <w:szCs w:val="21"/>
              </w:rPr>
              <w:t>长度</w:t>
            </w:r>
          </w:p>
          <w:p>
            <w:pPr>
              <w:pStyle w:val="45"/>
              <w:ind w:firstLine="0" w:firstLineChars="0"/>
              <w:jc w:val="center"/>
              <w:rPr>
                <w:sz w:val="21"/>
                <w:szCs w:val="21"/>
              </w:rPr>
            </w:pPr>
            <w:r>
              <w:rPr>
                <w:rFonts w:hint="eastAsia"/>
                <w:sz w:val="21"/>
                <w:szCs w:val="21"/>
              </w:rPr>
              <w:t>（km）</w:t>
            </w:r>
          </w:p>
        </w:tc>
        <w:tc>
          <w:tcPr>
            <w:tcW w:w="704" w:type="dxa"/>
            <w:vAlign w:val="center"/>
          </w:tcPr>
          <w:p>
            <w:pPr>
              <w:pStyle w:val="45"/>
              <w:ind w:firstLine="0" w:firstLineChars="0"/>
              <w:jc w:val="center"/>
              <w:rPr>
                <w:sz w:val="21"/>
                <w:szCs w:val="21"/>
              </w:rPr>
            </w:pPr>
            <w:r>
              <w:rPr>
                <w:rFonts w:hint="eastAsia"/>
                <w:sz w:val="21"/>
                <w:szCs w:val="21"/>
              </w:rPr>
              <w:t>堤顶高程</w:t>
            </w:r>
          </w:p>
          <w:p>
            <w:pPr>
              <w:pStyle w:val="45"/>
              <w:ind w:firstLine="0" w:firstLineChars="0"/>
              <w:jc w:val="center"/>
              <w:rPr>
                <w:sz w:val="21"/>
                <w:szCs w:val="21"/>
              </w:rPr>
            </w:pPr>
            <w:r>
              <w:rPr>
                <w:rFonts w:hint="eastAsia"/>
                <w:sz w:val="21"/>
                <w:szCs w:val="21"/>
              </w:rPr>
              <w:t>（m）</w:t>
            </w:r>
          </w:p>
        </w:tc>
        <w:tc>
          <w:tcPr>
            <w:tcW w:w="704" w:type="dxa"/>
            <w:vAlign w:val="center"/>
          </w:tcPr>
          <w:p>
            <w:pPr>
              <w:pStyle w:val="45"/>
              <w:ind w:firstLine="0" w:firstLineChars="0"/>
              <w:jc w:val="center"/>
              <w:rPr>
                <w:sz w:val="21"/>
                <w:szCs w:val="21"/>
              </w:rPr>
            </w:pPr>
            <w:r>
              <w:rPr>
                <w:rFonts w:hint="eastAsia"/>
                <w:sz w:val="21"/>
                <w:szCs w:val="21"/>
              </w:rPr>
              <w:t>堤顶宽度（m）</w:t>
            </w:r>
          </w:p>
        </w:tc>
        <w:tc>
          <w:tcPr>
            <w:tcW w:w="396" w:type="dxa"/>
            <w:vAlign w:val="center"/>
          </w:tcPr>
          <w:p>
            <w:pPr>
              <w:pStyle w:val="45"/>
              <w:ind w:firstLine="0" w:firstLineChars="0"/>
              <w:jc w:val="center"/>
              <w:rPr>
                <w:sz w:val="21"/>
                <w:szCs w:val="21"/>
              </w:rPr>
            </w:pPr>
            <w:r>
              <w:rPr>
                <w:rFonts w:hint="eastAsia"/>
                <w:sz w:val="21"/>
                <w:szCs w:val="21"/>
              </w:rPr>
              <w:t>是否达标</w:t>
            </w:r>
          </w:p>
        </w:tc>
        <w:tc>
          <w:tcPr>
            <w:tcW w:w="607" w:type="dxa"/>
            <w:vAlign w:val="center"/>
          </w:tcPr>
          <w:p>
            <w:pPr>
              <w:pStyle w:val="45"/>
              <w:ind w:firstLine="0" w:firstLineChars="0"/>
              <w:jc w:val="center"/>
              <w:rPr>
                <w:sz w:val="21"/>
                <w:szCs w:val="21"/>
              </w:rPr>
            </w:pPr>
            <w:r>
              <w:rPr>
                <w:rFonts w:hint="eastAsia"/>
                <w:sz w:val="21"/>
                <w:szCs w:val="21"/>
              </w:rPr>
              <w:t>长度（km）</w:t>
            </w:r>
          </w:p>
        </w:tc>
        <w:tc>
          <w:tcPr>
            <w:tcW w:w="711" w:type="dxa"/>
            <w:vAlign w:val="center"/>
          </w:tcPr>
          <w:p>
            <w:pPr>
              <w:pStyle w:val="45"/>
              <w:ind w:firstLine="0" w:firstLineChars="0"/>
              <w:jc w:val="center"/>
              <w:rPr>
                <w:sz w:val="21"/>
                <w:szCs w:val="21"/>
              </w:rPr>
            </w:pPr>
            <w:r>
              <w:rPr>
                <w:rFonts w:hint="eastAsia"/>
                <w:sz w:val="21"/>
                <w:szCs w:val="21"/>
              </w:rPr>
              <w:t>地面高程（m）</w:t>
            </w:r>
          </w:p>
        </w:tc>
        <w:tc>
          <w:tcPr>
            <w:tcW w:w="486" w:type="dxa"/>
            <w:vAlign w:val="center"/>
          </w:tcPr>
          <w:p>
            <w:pPr>
              <w:pStyle w:val="45"/>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54" w:type="dxa"/>
            <w:vAlign w:val="center"/>
          </w:tcPr>
          <w:p>
            <w:pPr>
              <w:pStyle w:val="45"/>
              <w:ind w:firstLine="0" w:firstLineChars="0"/>
              <w:jc w:val="center"/>
              <w:rPr>
                <w:sz w:val="21"/>
                <w:szCs w:val="21"/>
              </w:rPr>
            </w:pPr>
            <w:r>
              <w:rPr>
                <w:rFonts w:hint="eastAsia"/>
                <w:sz w:val="21"/>
                <w:szCs w:val="21"/>
              </w:rPr>
              <w:t>左岸</w:t>
            </w:r>
          </w:p>
        </w:tc>
        <w:tc>
          <w:tcPr>
            <w:tcW w:w="856"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K0+.00</w:t>
            </w:r>
          </w:p>
        </w:tc>
        <w:tc>
          <w:tcPr>
            <w:tcW w:w="1007" w:type="dxa"/>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2833349.99,559514.15</w:t>
            </w:r>
          </w:p>
        </w:tc>
        <w:tc>
          <w:tcPr>
            <w:tcW w:w="847"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K12+91</w:t>
            </w:r>
          </w:p>
        </w:tc>
        <w:tc>
          <w:tcPr>
            <w:tcW w:w="991" w:type="dxa"/>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2842676.61,559676.32</w:t>
            </w:r>
          </w:p>
        </w:tc>
        <w:tc>
          <w:tcPr>
            <w:tcW w:w="561" w:type="dxa"/>
            <w:vAlign w:val="center"/>
          </w:tcPr>
          <w:p>
            <w:pPr>
              <w:widowControl/>
              <w:jc w:val="center"/>
              <w:rPr>
                <w:rFonts w:ascii="Calibri" w:hAnsi="Calibri" w:eastAsia="宋体" w:cs="宋体"/>
                <w:color w:val="000000"/>
                <w:kern w:val="0"/>
                <w:sz w:val="15"/>
                <w:szCs w:val="15"/>
              </w:rPr>
            </w:pPr>
          </w:p>
        </w:tc>
        <w:tc>
          <w:tcPr>
            <w:tcW w:w="63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396" w:type="dxa"/>
            <w:vAlign w:val="center"/>
          </w:tcPr>
          <w:p>
            <w:pPr>
              <w:widowControl/>
              <w:jc w:val="center"/>
              <w:rPr>
                <w:rFonts w:ascii="宋体" w:hAnsi="宋体" w:eastAsia="宋体" w:cs="宋体"/>
                <w:color w:val="000000"/>
                <w:kern w:val="0"/>
                <w:sz w:val="15"/>
                <w:szCs w:val="15"/>
              </w:rPr>
            </w:pPr>
          </w:p>
        </w:tc>
        <w:tc>
          <w:tcPr>
            <w:tcW w:w="607"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12.91</w:t>
            </w:r>
          </w:p>
        </w:tc>
        <w:tc>
          <w:tcPr>
            <w:tcW w:w="711"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175.90</w:t>
            </w:r>
            <w:r>
              <w:rPr>
                <w:rFonts w:ascii="Calibri" w:hAnsi="Calibri" w:eastAsia="宋体" w:cs="宋体"/>
                <w:color w:val="000000"/>
                <w:kern w:val="0"/>
                <w:sz w:val="15"/>
                <w:szCs w:val="15"/>
              </w:rPr>
              <w:t>-</w:t>
            </w:r>
            <w:r>
              <w:rPr>
                <w:rFonts w:hint="eastAsia" w:ascii="Calibri" w:hAnsi="Calibri" w:eastAsia="宋体" w:cs="宋体"/>
                <w:color w:val="000000"/>
                <w:kern w:val="0"/>
                <w:sz w:val="15"/>
                <w:szCs w:val="15"/>
              </w:rPr>
              <w:t>305.31</w:t>
            </w:r>
          </w:p>
        </w:tc>
        <w:tc>
          <w:tcPr>
            <w:tcW w:w="486" w:type="dxa"/>
            <w:vAlign w:val="center"/>
          </w:tcPr>
          <w:p>
            <w:pPr>
              <w:widowControl/>
              <w:jc w:val="center"/>
              <w:rPr>
                <w:rFonts w:ascii="Calibri" w:hAnsi="Calibri" w:eastAsia="宋体" w:cs="宋体"/>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54" w:type="dxa"/>
            <w:vAlign w:val="center"/>
          </w:tcPr>
          <w:p>
            <w:pPr>
              <w:pStyle w:val="45"/>
              <w:ind w:firstLine="0" w:firstLineChars="0"/>
              <w:jc w:val="center"/>
              <w:rPr>
                <w:sz w:val="21"/>
                <w:szCs w:val="21"/>
              </w:rPr>
            </w:pPr>
            <w:r>
              <w:rPr>
                <w:rFonts w:hint="eastAsia"/>
                <w:sz w:val="21"/>
                <w:szCs w:val="21"/>
              </w:rPr>
              <w:t>右岸</w:t>
            </w:r>
          </w:p>
        </w:tc>
        <w:tc>
          <w:tcPr>
            <w:tcW w:w="856"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K0+.00</w:t>
            </w:r>
          </w:p>
        </w:tc>
        <w:tc>
          <w:tcPr>
            <w:tcW w:w="1007" w:type="dxa"/>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2833182.52,558867.02</w:t>
            </w:r>
          </w:p>
        </w:tc>
        <w:tc>
          <w:tcPr>
            <w:tcW w:w="847"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K12+91</w:t>
            </w:r>
          </w:p>
        </w:tc>
        <w:tc>
          <w:tcPr>
            <w:tcW w:w="991" w:type="dxa"/>
            <w:vAlign w:val="center"/>
          </w:tcPr>
          <w:p>
            <w:pPr>
              <w:widowControl/>
              <w:jc w:val="left"/>
              <w:rPr>
                <w:rFonts w:ascii="Calibri" w:hAnsi="Calibri" w:eastAsia="宋体" w:cs="宋体"/>
                <w:color w:val="000000"/>
                <w:kern w:val="0"/>
                <w:sz w:val="15"/>
                <w:szCs w:val="15"/>
              </w:rPr>
            </w:pPr>
            <w:r>
              <w:rPr>
                <w:rFonts w:ascii="Calibri" w:hAnsi="Calibri" w:eastAsia="宋体" w:cs="宋体"/>
                <w:color w:val="000000"/>
                <w:kern w:val="0"/>
                <w:sz w:val="15"/>
                <w:szCs w:val="15"/>
              </w:rPr>
              <w:t>284</w:t>
            </w:r>
            <w:r>
              <w:rPr>
                <w:rFonts w:hint="eastAsia" w:ascii="Calibri" w:hAnsi="Calibri" w:eastAsia="宋体" w:cs="宋体"/>
                <w:color w:val="000000"/>
                <w:kern w:val="0"/>
                <w:sz w:val="15"/>
                <w:szCs w:val="15"/>
              </w:rPr>
              <w:t>2529.92,</w:t>
            </w:r>
            <w:r>
              <w:rPr>
                <w:rFonts w:ascii="Calibri" w:hAnsi="Calibri" w:eastAsia="宋体" w:cs="宋体"/>
                <w:color w:val="000000"/>
                <w:kern w:val="0"/>
                <w:sz w:val="15"/>
                <w:szCs w:val="15"/>
              </w:rPr>
              <w:t>5</w:t>
            </w:r>
            <w:r>
              <w:rPr>
                <w:rFonts w:hint="eastAsia" w:ascii="Calibri" w:hAnsi="Calibri" w:eastAsia="宋体" w:cs="宋体"/>
                <w:color w:val="000000"/>
                <w:kern w:val="0"/>
                <w:sz w:val="15"/>
                <w:szCs w:val="15"/>
              </w:rPr>
              <w:t>59725.99</w:t>
            </w:r>
          </w:p>
        </w:tc>
        <w:tc>
          <w:tcPr>
            <w:tcW w:w="561" w:type="dxa"/>
            <w:vAlign w:val="center"/>
          </w:tcPr>
          <w:p>
            <w:pPr>
              <w:widowControl/>
              <w:jc w:val="center"/>
              <w:rPr>
                <w:rFonts w:ascii="Calibri" w:hAnsi="Calibri" w:eastAsia="宋体" w:cs="宋体"/>
                <w:color w:val="000000"/>
                <w:kern w:val="0"/>
                <w:sz w:val="15"/>
                <w:szCs w:val="15"/>
              </w:rPr>
            </w:pPr>
          </w:p>
        </w:tc>
        <w:tc>
          <w:tcPr>
            <w:tcW w:w="63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396" w:type="dxa"/>
            <w:vAlign w:val="center"/>
          </w:tcPr>
          <w:p>
            <w:pPr>
              <w:widowControl/>
              <w:jc w:val="center"/>
              <w:rPr>
                <w:rFonts w:ascii="宋体" w:hAnsi="宋体" w:eastAsia="宋体" w:cs="宋体"/>
                <w:color w:val="000000"/>
                <w:kern w:val="0"/>
                <w:sz w:val="15"/>
                <w:szCs w:val="15"/>
              </w:rPr>
            </w:pPr>
          </w:p>
        </w:tc>
        <w:tc>
          <w:tcPr>
            <w:tcW w:w="607"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12.91</w:t>
            </w:r>
          </w:p>
        </w:tc>
        <w:tc>
          <w:tcPr>
            <w:tcW w:w="711" w:type="dxa"/>
            <w:vAlign w:val="center"/>
          </w:tcPr>
          <w:p>
            <w:pPr>
              <w:pStyle w:val="45"/>
              <w:ind w:firstLine="0" w:firstLineChars="0"/>
              <w:jc w:val="center"/>
              <w:rPr>
                <w:sz w:val="15"/>
                <w:szCs w:val="15"/>
              </w:rPr>
            </w:pPr>
            <w:r>
              <w:rPr>
                <w:rFonts w:hint="eastAsia" w:ascii="Calibri" w:hAnsi="Calibri" w:eastAsia="宋体" w:cs="宋体"/>
                <w:color w:val="000000"/>
                <w:kern w:val="0"/>
                <w:sz w:val="15"/>
                <w:szCs w:val="15"/>
              </w:rPr>
              <w:t>175.81</w:t>
            </w:r>
            <w:r>
              <w:rPr>
                <w:rFonts w:ascii="Calibri" w:hAnsi="Calibri" w:eastAsia="宋体" w:cs="宋体"/>
                <w:color w:val="000000"/>
                <w:kern w:val="0"/>
                <w:sz w:val="15"/>
                <w:szCs w:val="15"/>
              </w:rPr>
              <w:t>-</w:t>
            </w:r>
            <w:r>
              <w:rPr>
                <w:rFonts w:hint="eastAsia" w:ascii="Calibri" w:hAnsi="Calibri" w:eastAsia="宋体" w:cs="宋体"/>
                <w:color w:val="000000"/>
                <w:kern w:val="0"/>
                <w:sz w:val="15"/>
                <w:szCs w:val="15"/>
              </w:rPr>
              <w:t>305.31</w:t>
            </w:r>
          </w:p>
        </w:tc>
        <w:tc>
          <w:tcPr>
            <w:tcW w:w="486" w:type="dxa"/>
            <w:vAlign w:val="center"/>
          </w:tcPr>
          <w:p>
            <w:pPr>
              <w:pStyle w:val="45"/>
              <w:ind w:firstLine="0" w:firstLineChars="0"/>
              <w:jc w:val="center"/>
              <w:rPr>
                <w:sz w:val="21"/>
                <w:szCs w:val="21"/>
              </w:rPr>
            </w:pPr>
          </w:p>
        </w:tc>
      </w:tr>
      <w:bookmarkEnd w:id="12"/>
    </w:tbl>
    <w:p>
      <w:pPr>
        <w:pStyle w:val="4"/>
        <w:ind w:left="0" w:firstLine="0"/>
      </w:pPr>
      <w:bookmarkStart w:id="13" w:name="_Toc16514"/>
      <w:bookmarkStart w:id="14" w:name="_Toc15228265"/>
      <w:bookmarkStart w:id="15" w:name="_Toc15233126"/>
      <w:r>
        <w:rPr>
          <w:rFonts w:hint="eastAsia"/>
        </w:rPr>
        <w:t>涉河建设项目情况</w:t>
      </w:r>
      <w:bookmarkEnd w:id="13"/>
      <w:bookmarkEnd w:id="14"/>
      <w:bookmarkEnd w:id="15"/>
    </w:p>
    <w:p>
      <w:pPr>
        <w:pStyle w:val="45"/>
        <w:ind w:firstLine="560"/>
        <w:rPr>
          <w:rFonts w:ascii="宋体" w:hAnsi="宋体" w:eastAsia="宋体" w:cs="宋体"/>
        </w:rPr>
      </w:pPr>
      <w:r>
        <w:rPr>
          <w:rFonts w:hint="eastAsia" w:ascii="宋体" w:hAnsi="宋体" w:eastAsia="宋体" w:cs="宋体"/>
        </w:rPr>
        <w:t>宜阳河道县河段已建拦水坝、人行桥、公路桥等涉河建筑物。具体见下表3。</w:t>
      </w:r>
    </w:p>
    <w:p>
      <w:pPr>
        <w:jc w:val="left"/>
        <w:rPr>
          <w:b/>
        </w:rPr>
      </w:pPr>
      <w:r>
        <w:rPr>
          <w:rFonts w:hint="eastAsia"/>
          <w:b/>
        </w:rPr>
        <w:t>表3                           涉河建设项目情况</w:t>
      </w:r>
    </w:p>
    <w:tbl>
      <w:tblPr>
        <w:tblStyle w:val="22"/>
        <w:tblW w:w="8513" w:type="dxa"/>
        <w:tblInd w:w="91" w:type="dxa"/>
        <w:tblLayout w:type="fixed"/>
        <w:tblCellMar>
          <w:top w:w="0" w:type="dxa"/>
          <w:left w:w="108" w:type="dxa"/>
          <w:bottom w:w="0" w:type="dxa"/>
          <w:right w:w="108" w:type="dxa"/>
        </w:tblCellMar>
      </w:tblPr>
      <w:tblGrid>
        <w:gridCol w:w="1151"/>
        <w:gridCol w:w="851"/>
        <w:gridCol w:w="992"/>
        <w:gridCol w:w="851"/>
        <w:gridCol w:w="992"/>
        <w:gridCol w:w="709"/>
        <w:gridCol w:w="717"/>
        <w:gridCol w:w="1125"/>
        <w:gridCol w:w="1125"/>
      </w:tblGrid>
      <w:tr>
        <w:tblPrEx>
          <w:tblCellMar>
            <w:top w:w="0" w:type="dxa"/>
            <w:left w:w="108" w:type="dxa"/>
            <w:bottom w:w="0" w:type="dxa"/>
            <w:right w:w="108" w:type="dxa"/>
          </w:tblCellMar>
        </w:tblPrEx>
        <w:trPr>
          <w:trHeight w:val="315" w:hRule="atLeast"/>
          <w:tblHeader/>
        </w:trPr>
        <w:tc>
          <w:tcPr>
            <w:tcW w:w="1151"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项目名称</w:t>
            </w:r>
          </w:p>
        </w:tc>
        <w:tc>
          <w:tcPr>
            <w:tcW w:w="1843" w:type="dxa"/>
            <w:gridSpan w:val="2"/>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851"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992"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709"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717"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12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12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CellMar>
            <w:top w:w="0" w:type="dxa"/>
            <w:left w:w="108" w:type="dxa"/>
            <w:bottom w:w="0" w:type="dxa"/>
            <w:right w:w="108" w:type="dxa"/>
          </w:tblCellMar>
        </w:tblPrEx>
        <w:trPr>
          <w:trHeight w:val="300" w:hRule="atLeast"/>
          <w:tblHeader/>
        </w:trPr>
        <w:tc>
          <w:tcPr>
            <w:tcW w:w="1151"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w:t>
            </w:r>
          </w:p>
        </w:tc>
        <w:tc>
          <w:tcPr>
            <w:tcW w:w="851"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992"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709"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717"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112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112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石下渡桥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558725.93</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2833748.97</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石下渡村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车头村公路桥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557807.68</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2834578.27</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车头村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9</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井头公路桥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557481.94</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2834986.66</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新井头村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3</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直洲村公路桥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557590.87</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2835660.73</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直洲村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牛子岗公路桥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557712.94</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2836459.26</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玉岗村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6.5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熊家面公路桥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557755.95</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2836733.50</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玉岗村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3.2</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宜阳洞拦水坝</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557822.37</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2837150.60</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社湾村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4.5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斯屋公路桥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557899.31</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2837635.92</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斯屋村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福田寺公路桥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558142.11</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2839165.44</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新屋村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5.2</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虎岩坝公路桥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558875.86</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2840472.84</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司空岩村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13.5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廊洞公路桥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559914.69</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2840672.89</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廊洞村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4.5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廊洞水库公路桥</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560025.43</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2841025.67</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廊洞村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4.5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r>
        <w:tblPrEx>
          <w:tblCellMar>
            <w:top w:w="0" w:type="dxa"/>
            <w:left w:w="108" w:type="dxa"/>
            <w:bottom w:w="0" w:type="dxa"/>
            <w:right w:w="108" w:type="dxa"/>
          </w:tblCellMar>
        </w:tblPrEx>
        <w:trPr>
          <w:trHeight w:val="454" w:hRule="exact"/>
        </w:trPr>
        <w:tc>
          <w:tcPr>
            <w:tcW w:w="115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廊洞水库拦水坝</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559740.65</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2841404.06</w:t>
            </w:r>
          </w:p>
        </w:tc>
        <w:tc>
          <w:tcPr>
            <w:tcW w:w="85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92"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廊洞村</w:t>
            </w:r>
          </w:p>
        </w:tc>
        <w:tc>
          <w:tcPr>
            <w:tcW w:w="709"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左右岸</w:t>
            </w:r>
          </w:p>
        </w:tc>
        <w:tc>
          <w:tcPr>
            <w:tcW w:w="71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4.5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bCs/>
                <w:kern w:val="0"/>
                <w:sz w:val="13"/>
                <w:szCs w:val="13"/>
              </w:rPr>
              <w:t>无</w:t>
            </w:r>
          </w:p>
        </w:tc>
      </w:tr>
    </w:tbl>
    <w:p>
      <w:pPr>
        <w:pStyle w:val="4"/>
        <w:ind w:left="0" w:firstLine="0"/>
      </w:pPr>
      <w:bookmarkStart w:id="16" w:name="_Toc15228266"/>
      <w:bookmarkStart w:id="17" w:name="_Toc25820"/>
      <w:bookmarkStart w:id="18" w:name="_Toc15233127"/>
      <w:r>
        <w:rPr>
          <w:rFonts w:hint="eastAsia"/>
        </w:rPr>
        <w:t>土地权属情况</w:t>
      </w:r>
      <w:bookmarkEnd w:id="16"/>
      <w:bookmarkEnd w:id="17"/>
      <w:bookmarkEnd w:id="18"/>
    </w:p>
    <w:p>
      <w:pPr>
        <w:pStyle w:val="45"/>
        <w:ind w:firstLine="560"/>
      </w:pPr>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数据库中宜阳河道县河段国有土地所有权范围线与外业调查的河口线，经调查，宜阳河道县河段国有土地所有权范围线与河口线基本吻合，不存在较大偏差。</w:t>
      </w:r>
    </w:p>
    <w:p>
      <w:pPr>
        <w:pStyle w:val="4"/>
        <w:ind w:left="0" w:firstLine="0"/>
      </w:pPr>
      <w:bookmarkStart w:id="19" w:name="_Toc32041"/>
      <w:bookmarkStart w:id="20" w:name="_Toc15228267"/>
      <w:bookmarkStart w:id="21" w:name="_Toc15233128"/>
      <w:r>
        <w:rPr>
          <w:rFonts w:hint="eastAsia"/>
        </w:rPr>
        <w:t>历史划界情况</w:t>
      </w:r>
      <w:bookmarkEnd w:id="19"/>
      <w:bookmarkEnd w:id="20"/>
      <w:bookmarkEnd w:id="21"/>
    </w:p>
    <w:p>
      <w:pPr>
        <w:pStyle w:val="45"/>
        <w:ind w:firstLine="560"/>
      </w:pPr>
      <w:bookmarkStart w:id="22" w:name="_Toc15228268"/>
      <w:bookmarkStart w:id="23" w:name="_Toc15233129"/>
      <w:r>
        <w:rPr>
          <w:rFonts w:hint="eastAsia"/>
        </w:rPr>
        <w:t>宜阳河道县河段未进行历史划界，无历史划界资料。</w:t>
      </w:r>
    </w:p>
    <w:p>
      <w:pPr>
        <w:pStyle w:val="3"/>
        <w:ind w:left="0" w:firstLine="0"/>
      </w:pPr>
      <w:bookmarkStart w:id="24" w:name="_Toc3809"/>
      <w:r>
        <w:rPr>
          <w:rFonts w:hint="eastAsia"/>
        </w:rPr>
        <w:t>工作原则及依据</w:t>
      </w:r>
      <w:bookmarkEnd w:id="22"/>
      <w:bookmarkEnd w:id="23"/>
      <w:bookmarkEnd w:id="24"/>
    </w:p>
    <w:p>
      <w:pPr>
        <w:pStyle w:val="4"/>
        <w:ind w:left="0" w:firstLine="0"/>
      </w:pPr>
      <w:bookmarkStart w:id="25" w:name="_Toc15233130"/>
      <w:bookmarkStart w:id="26" w:name="_Toc15228269"/>
      <w:bookmarkStart w:id="27" w:name="_Toc18893"/>
      <w:r>
        <w:rPr>
          <w:rFonts w:hint="eastAsia"/>
        </w:rPr>
        <w:t>工作原则</w:t>
      </w:r>
      <w:bookmarkEnd w:id="25"/>
      <w:bookmarkEnd w:id="26"/>
      <w:bookmarkEnd w:id="27"/>
    </w:p>
    <w:p>
      <w:pPr>
        <w:pStyle w:val="45"/>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5"/>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5"/>
        <w:ind w:firstLine="560"/>
      </w:pPr>
      <w:r>
        <w:t>（3）</w:t>
      </w:r>
      <w:r>
        <w:rPr>
          <w:rFonts w:hint="eastAsia"/>
        </w:rPr>
        <w:t>坚持统一标准、统一底图。统一标准，做好上下游资料的衔接，已完成划界的，按照新标准对成果资料核实整理。</w:t>
      </w:r>
    </w:p>
    <w:p>
      <w:pPr>
        <w:pStyle w:val="45"/>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5"/>
        <w:ind w:firstLine="560"/>
      </w:pPr>
      <w:r>
        <w:rPr>
          <w:rFonts w:hint="eastAsia"/>
        </w:rPr>
        <w:t>（5）</w:t>
      </w:r>
      <w:r>
        <w:t>权属不变：管理范围界线划定后，管理范围内土地权属性质不发生变化</w:t>
      </w:r>
      <w:r>
        <w:rPr>
          <w:rFonts w:hint="eastAsia"/>
        </w:rPr>
        <w:t>。</w:t>
      </w:r>
    </w:p>
    <w:p>
      <w:pPr>
        <w:pStyle w:val="4"/>
        <w:ind w:left="0" w:firstLine="0"/>
      </w:pPr>
      <w:bookmarkStart w:id="28" w:name="_Toc2306"/>
      <w:bookmarkStart w:id="29" w:name="_Toc15228273"/>
      <w:bookmarkStart w:id="30" w:name="_Toc15233134"/>
      <w:r>
        <w:rPr>
          <w:rFonts w:hint="eastAsia"/>
        </w:rPr>
        <w:t>工作依据</w:t>
      </w:r>
      <w:bookmarkEnd w:id="28"/>
      <w:bookmarkEnd w:id="29"/>
      <w:bookmarkEnd w:id="30"/>
    </w:p>
    <w:p>
      <w:pPr>
        <w:pStyle w:val="5"/>
        <w:numPr>
          <w:ilvl w:val="0"/>
          <w:numId w:val="0"/>
        </w:numPr>
        <w:spacing w:before="120" w:after="120" w:line="360" w:lineRule="auto"/>
        <w:rPr>
          <w:rFonts w:ascii="宋体" w:hAnsi="宋体" w:eastAsia="宋体"/>
          <w:sz w:val="28"/>
          <w:szCs w:val="28"/>
        </w:rPr>
      </w:pPr>
      <w:bookmarkStart w:id="31" w:name="_Toc31464"/>
      <w:bookmarkStart w:id="32" w:name="_Toc450288706"/>
      <w:bookmarkStart w:id="33" w:name="_Toc14679054"/>
      <w:bookmarkStart w:id="34" w:name="_Toc15228274"/>
      <w:bookmarkStart w:id="35" w:name="_Toc15233135"/>
      <w:bookmarkStart w:id="36" w:name="_Toc463087577"/>
      <w:r>
        <w:rPr>
          <w:rFonts w:hint="eastAsia" w:ascii="宋体" w:hAnsi="宋体" w:eastAsia="宋体"/>
          <w:sz w:val="28"/>
          <w:szCs w:val="28"/>
        </w:rPr>
        <w:t>3.2.1法律法规</w:t>
      </w:r>
      <w:bookmarkEnd w:id="31"/>
      <w:bookmarkEnd w:id="32"/>
      <w:bookmarkEnd w:id="33"/>
      <w:bookmarkEnd w:id="34"/>
      <w:bookmarkEnd w:id="35"/>
      <w:bookmarkEnd w:id="36"/>
    </w:p>
    <w:p>
      <w:pPr>
        <w:pStyle w:val="45"/>
        <w:ind w:firstLine="560"/>
      </w:pPr>
      <w:bookmarkStart w:id="37" w:name="_Toc15233138"/>
      <w:bookmarkStart w:id="38" w:name="_Toc15228277"/>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r>
        <w:t>)</w:t>
      </w:r>
    </w:p>
    <w:p>
      <w:pPr>
        <w:pStyle w:val="45"/>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5"/>
        <w:ind w:firstLine="560"/>
      </w:pPr>
      <w:r>
        <w:rPr>
          <w:rFonts w:hint="eastAsia"/>
        </w:rPr>
        <w:t>（</w:t>
      </w:r>
      <w:r>
        <w:t>3</w:t>
      </w:r>
      <w:r>
        <w:rPr>
          <w:rFonts w:hint="eastAsia"/>
        </w:rPr>
        <w:t>）《中华人民共和国土地管理法》(2004年)</w:t>
      </w:r>
    </w:p>
    <w:p>
      <w:pPr>
        <w:pStyle w:val="45"/>
        <w:ind w:firstLine="560"/>
      </w:pPr>
      <w:r>
        <w:rPr>
          <w:rFonts w:hint="eastAsia"/>
        </w:rPr>
        <w:t>（4）《中华人民共和国土地管理法实施条例》(2014年)</w:t>
      </w:r>
    </w:p>
    <w:p>
      <w:pPr>
        <w:pStyle w:val="45"/>
        <w:ind w:firstLine="560"/>
      </w:pPr>
      <w:r>
        <w:rPr>
          <w:rFonts w:hint="eastAsia"/>
        </w:rPr>
        <w:t>（5）《中华人民共和国河道管理条例》（国务院令第</w:t>
      </w:r>
      <w:r>
        <w:t>3</w:t>
      </w:r>
      <w:r>
        <w:rPr>
          <w:rFonts w:hint="eastAsia"/>
        </w:rPr>
        <w:t>号，</w:t>
      </w:r>
      <w:r>
        <w:t>2017</w:t>
      </w:r>
      <w:r>
        <w:rPr>
          <w:rFonts w:hint="eastAsia"/>
        </w:rPr>
        <w:t>年修订）</w:t>
      </w:r>
    </w:p>
    <w:p>
      <w:pPr>
        <w:pStyle w:val="45"/>
        <w:ind w:firstLine="560"/>
      </w:pPr>
      <w:r>
        <w:rPr>
          <w:rFonts w:hint="eastAsia"/>
        </w:rPr>
        <w:t>（6）《不动产登记暂行条例》（国务院令第</w:t>
      </w:r>
      <w:r>
        <w:t>656</w:t>
      </w:r>
      <w:r>
        <w:rPr>
          <w:rFonts w:hint="eastAsia"/>
        </w:rPr>
        <w:t>号）</w:t>
      </w:r>
    </w:p>
    <w:p>
      <w:pPr>
        <w:pStyle w:val="45"/>
        <w:ind w:firstLine="560"/>
      </w:pPr>
      <w:r>
        <w:rPr>
          <w:rFonts w:hint="eastAsia"/>
        </w:rPr>
        <w:t>（7）《不动产登记暂行条例实施细则》（国士资源部令第</w:t>
      </w:r>
      <w:r>
        <w:t>63</w:t>
      </w:r>
      <w:r>
        <w:rPr>
          <w:rFonts w:hint="eastAsia"/>
        </w:rPr>
        <w:t>号）</w:t>
      </w:r>
    </w:p>
    <w:p>
      <w:pPr>
        <w:pStyle w:val="45"/>
        <w:ind w:firstLine="560"/>
      </w:pPr>
      <w:r>
        <w:rPr>
          <w:rFonts w:hint="eastAsia"/>
        </w:rPr>
        <w:t>（8）《湖南省实施〈中华人民共和国水法〉办法》（湖南省第十届人民代表大会常务委员会公告第</w:t>
      </w:r>
      <w:r>
        <w:t>21</w:t>
      </w:r>
      <w:r>
        <w:rPr>
          <w:rFonts w:hint="eastAsia"/>
        </w:rPr>
        <w:t>号）</w:t>
      </w:r>
    </w:p>
    <w:p>
      <w:pPr>
        <w:pStyle w:val="45"/>
        <w:ind w:firstLine="560"/>
      </w:pPr>
      <w:r>
        <w:rPr>
          <w:rFonts w:hint="eastAsia"/>
        </w:rPr>
        <w:t>（9）《湖南省实施〈中华人民共和国防洪法〉办法》（湖南省第九届人民代表大会常务委员会公告第</w:t>
      </w:r>
      <w:r>
        <w:t>58</w:t>
      </w:r>
      <w:r>
        <w:rPr>
          <w:rFonts w:hint="eastAsia"/>
        </w:rPr>
        <w:t>号）</w:t>
      </w:r>
    </w:p>
    <w:p>
      <w:pPr>
        <w:pStyle w:val="45"/>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5"/>
        <w:ind w:firstLine="560"/>
      </w:pPr>
      <w:r>
        <w:rPr>
          <w:rFonts w:hint="eastAsia"/>
        </w:rPr>
        <w:t>（11）《湖南省实施&lt;中华人民共和国河道管理条例〉办法》（湖南省人民政府令第</w:t>
      </w:r>
      <w:r>
        <w:t>43</w:t>
      </w:r>
      <w:r>
        <w:rPr>
          <w:rFonts w:hint="eastAsia"/>
        </w:rPr>
        <w:t>号，</w:t>
      </w:r>
      <w:r>
        <w:t>2008</w:t>
      </w:r>
      <w:r>
        <w:rPr>
          <w:rFonts w:hint="eastAsia"/>
        </w:rPr>
        <w:t>年修正）</w:t>
      </w:r>
    </w:p>
    <w:p>
      <w:pPr>
        <w:pStyle w:val="45"/>
        <w:ind w:firstLine="560"/>
      </w:pPr>
      <w:r>
        <w:rPr>
          <w:rFonts w:hint="eastAsia"/>
        </w:rPr>
        <w:t>（12）《湖南省湘江保护条例》（湖南省第十一届人民代表大会常务委员会公告第</w:t>
      </w:r>
      <w:r>
        <w:t>75</w:t>
      </w:r>
      <w:r>
        <w:rPr>
          <w:rFonts w:hint="eastAsia"/>
        </w:rPr>
        <w:t>号）</w:t>
      </w:r>
    </w:p>
    <w:p>
      <w:pPr>
        <w:pStyle w:val="45"/>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39" w:name="_Toc14679055"/>
      <w:bookmarkStart w:id="40" w:name="_Toc22616"/>
      <w:bookmarkStart w:id="41" w:name="_Toc14194"/>
      <w:bookmarkStart w:id="42" w:name="_Toc15228275"/>
      <w:r>
        <w:rPr>
          <w:rFonts w:hint="eastAsia" w:ascii="宋体" w:hAnsi="宋体" w:eastAsia="宋体"/>
          <w:sz w:val="28"/>
          <w:szCs w:val="28"/>
        </w:rPr>
        <w:t>3.2.2政策性文件</w:t>
      </w:r>
      <w:bookmarkEnd w:id="39"/>
      <w:bookmarkEnd w:id="40"/>
      <w:bookmarkEnd w:id="41"/>
      <w:bookmarkEnd w:id="42"/>
    </w:p>
    <w:p>
      <w:pPr>
        <w:pStyle w:val="45"/>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5"/>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5"/>
        <w:ind w:firstLine="560"/>
      </w:pPr>
      <w:r>
        <w:rPr>
          <w:rFonts w:hint="eastAsia"/>
        </w:rPr>
        <w:t>（3）《水利部关于深化水利改革的指导意见》（水规计〔</w:t>
      </w:r>
      <w:r>
        <w:t>2014</w:t>
      </w:r>
      <w:r>
        <w:rPr>
          <w:rFonts w:hint="eastAsia"/>
        </w:rPr>
        <w:t>〕</w:t>
      </w:r>
      <w:r>
        <w:t>48</w:t>
      </w:r>
      <w:r>
        <w:rPr>
          <w:rFonts w:hint="eastAsia"/>
        </w:rPr>
        <w:t>号</w:t>
      </w:r>
      <w:r>
        <w:t>)</w:t>
      </w:r>
    </w:p>
    <w:p>
      <w:pPr>
        <w:pStyle w:val="45"/>
        <w:ind w:firstLine="560"/>
      </w:pPr>
      <w:r>
        <w:rPr>
          <w:rFonts w:hint="eastAsia"/>
        </w:rPr>
        <w:t>（4）《关于加强河道管理工作的指导意见》（水建管〔</w:t>
      </w:r>
      <w:r>
        <w:t>2014</w:t>
      </w:r>
      <w:r>
        <w:rPr>
          <w:rFonts w:hint="eastAsia"/>
        </w:rPr>
        <w:t>〕</w:t>
      </w:r>
      <w:r>
        <w:t>76</w:t>
      </w:r>
      <w:r>
        <w:rPr>
          <w:rFonts w:hint="eastAsia"/>
        </w:rPr>
        <w:t>号）</w:t>
      </w:r>
    </w:p>
    <w:p>
      <w:pPr>
        <w:pStyle w:val="45"/>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5"/>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r>
        <w:t>)</w:t>
      </w:r>
    </w:p>
    <w:p>
      <w:pPr>
        <w:pStyle w:val="45"/>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5"/>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5"/>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3" w:name="_Toc8594"/>
      <w:bookmarkStart w:id="44" w:name="_Toc14679056"/>
      <w:bookmarkStart w:id="45" w:name="_Toc11294"/>
      <w:bookmarkStart w:id="46" w:name="_Toc15228276"/>
      <w:r>
        <w:rPr>
          <w:rFonts w:hint="eastAsia" w:ascii="宋体" w:hAnsi="宋体" w:eastAsia="宋体"/>
          <w:sz w:val="28"/>
          <w:szCs w:val="28"/>
        </w:rPr>
        <w:t>3.2.3技术标准规范</w:t>
      </w:r>
      <w:bookmarkEnd w:id="43"/>
      <w:bookmarkEnd w:id="44"/>
      <w:bookmarkEnd w:id="45"/>
      <w:bookmarkEnd w:id="46"/>
    </w:p>
    <w:p>
      <w:pPr>
        <w:pStyle w:val="45"/>
        <w:ind w:firstLine="560"/>
      </w:pPr>
      <w:r>
        <w:rPr>
          <w:rFonts w:hint="eastAsia"/>
        </w:rPr>
        <w:t>（</w:t>
      </w:r>
      <w:r>
        <w:t>1</w:t>
      </w:r>
      <w:r>
        <w:rPr>
          <w:rFonts w:hint="eastAsia"/>
        </w:rPr>
        <w:t>）《防洪标准》（GB50201-2014）</w:t>
      </w:r>
    </w:p>
    <w:p>
      <w:pPr>
        <w:pStyle w:val="45"/>
        <w:ind w:firstLine="560"/>
      </w:pPr>
      <w:r>
        <w:rPr>
          <w:rFonts w:hint="eastAsia"/>
        </w:rPr>
        <w:t>（2）《水利水电工程设计洪水》（SL44-2006）</w:t>
      </w:r>
    </w:p>
    <w:p>
      <w:pPr>
        <w:pStyle w:val="45"/>
        <w:ind w:firstLine="560"/>
      </w:pPr>
      <w:r>
        <w:rPr>
          <w:rFonts w:hint="eastAsia"/>
        </w:rPr>
        <w:t>（3）《堤防工程设计规范》（GB50286-2013）</w:t>
      </w:r>
    </w:p>
    <w:p>
      <w:pPr>
        <w:pStyle w:val="45"/>
        <w:ind w:firstLine="560"/>
      </w:pPr>
      <w:r>
        <w:rPr>
          <w:rFonts w:hint="eastAsia"/>
        </w:rPr>
        <w:t>（4）《水利水电工程等级划分及洪水标准》（SL252-2000）</w:t>
      </w:r>
    </w:p>
    <w:p>
      <w:pPr>
        <w:pStyle w:val="45"/>
        <w:ind w:firstLine="560"/>
      </w:pPr>
      <w:r>
        <w:rPr>
          <w:rFonts w:hint="eastAsia"/>
        </w:rPr>
        <w:t>（5）《堤防工程管理设计规范》（SL171-96）</w:t>
      </w:r>
    </w:p>
    <w:p>
      <w:pPr>
        <w:pStyle w:val="45"/>
        <w:ind w:firstLine="560"/>
      </w:pPr>
      <w:r>
        <w:rPr>
          <w:rFonts w:hint="eastAsia"/>
        </w:rPr>
        <w:t>（6）《河道整治设计规范》（GB50707-2011）</w:t>
      </w:r>
    </w:p>
    <w:p>
      <w:pPr>
        <w:pStyle w:val="45"/>
        <w:ind w:firstLine="560"/>
      </w:pPr>
      <w:r>
        <w:rPr>
          <w:rFonts w:hint="eastAsia"/>
        </w:rPr>
        <w:t>（7）《全球定位系统城市测量技术规程》（CJJ73-2010）</w:t>
      </w:r>
    </w:p>
    <w:p>
      <w:pPr>
        <w:pStyle w:val="45"/>
        <w:ind w:firstLine="560"/>
      </w:pPr>
      <w:r>
        <w:rPr>
          <w:rFonts w:hint="eastAsia"/>
        </w:rPr>
        <w:t>（8）《国家三、四等水准测量规范》（GB12898-2009）</w:t>
      </w:r>
    </w:p>
    <w:p>
      <w:pPr>
        <w:pStyle w:val="45"/>
        <w:ind w:firstLine="560"/>
      </w:pPr>
      <w:r>
        <w:rPr>
          <w:rFonts w:hint="eastAsia"/>
        </w:rPr>
        <w:t>（9）《测绘产品检查验收规定》（GB/T24356-2009）</w:t>
      </w:r>
    </w:p>
    <w:p>
      <w:pPr>
        <w:pStyle w:val="45"/>
        <w:ind w:firstLine="560"/>
      </w:pPr>
      <w:r>
        <w:rPr>
          <w:rFonts w:hint="eastAsia"/>
        </w:rPr>
        <w:t>（</w:t>
      </w:r>
      <w:r>
        <w:t>1</w:t>
      </w:r>
      <w:r>
        <w:rPr>
          <w:rFonts w:hint="eastAsia"/>
        </w:rPr>
        <w:t>0）《地籍调查规程》（TD/T1001-2012）</w:t>
      </w:r>
    </w:p>
    <w:p>
      <w:pPr>
        <w:pStyle w:val="45"/>
        <w:ind w:firstLine="560"/>
      </w:pPr>
      <w:r>
        <w:rPr>
          <w:rFonts w:hint="eastAsia"/>
        </w:rPr>
        <w:t>（</w:t>
      </w:r>
      <w:r>
        <w:t>1</w:t>
      </w:r>
      <w:r>
        <w:rPr>
          <w:rFonts w:hint="eastAsia"/>
        </w:rPr>
        <w:t>1）《土地利用现状分类》（GB/T21010-2007）</w:t>
      </w:r>
    </w:p>
    <w:p>
      <w:pPr>
        <w:pStyle w:val="45"/>
        <w:ind w:firstLine="560"/>
      </w:pPr>
      <w:r>
        <w:rPr>
          <w:rFonts w:hint="eastAsia"/>
        </w:rPr>
        <w:t>（</w:t>
      </w:r>
      <w:r>
        <w:t>1</w:t>
      </w:r>
      <w:r>
        <w:rPr>
          <w:rFonts w:hint="eastAsia"/>
        </w:rPr>
        <w:t>2）《数字航空摄影测量测图规范第1部分：1:500 1:1000 1:2000 数字高程模型数字正射影像图数字线划图》（CH/T3007.1-2011）</w:t>
      </w:r>
    </w:p>
    <w:p>
      <w:pPr>
        <w:pStyle w:val="45"/>
        <w:ind w:firstLine="560"/>
      </w:pPr>
      <w:r>
        <w:rPr>
          <w:rFonts w:hint="eastAsia"/>
        </w:rPr>
        <w:t>（13）《全球定位系统GPS测量规范》（GB/T18314-2009）</w:t>
      </w:r>
    </w:p>
    <w:p>
      <w:pPr>
        <w:pStyle w:val="45"/>
        <w:ind w:firstLine="560"/>
      </w:pPr>
      <w:r>
        <w:rPr>
          <w:rFonts w:hint="eastAsia"/>
        </w:rPr>
        <w:t>（14）《全球定位系统实时动态测量(RTK)技术规范》（CH/T2009-2010）</w:t>
      </w:r>
    </w:p>
    <w:p>
      <w:pPr>
        <w:pStyle w:val="45"/>
        <w:ind w:firstLine="560"/>
      </w:pPr>
      <w:r>
        <w:rPr>
          <w:rFonts w:hint="eastAsia"/>
        </w:rPr>
        <w:t>（15）《国家基本比例尺地形图图式第1部分：1:500 1:1000 1:2000 地形图图式》（GB/T20257.1-2007）</w:t>
      </w:r>
    </w:p>
    <w:p>
      <w:pPr>
        <w:pStyle w:val="45"/>
        <w:ind w:firstLine="560"/>
      </w:pPr>
      <w:r>
        <w:rPr>
          <w:rFonts w:hint="eastAsia"/>
        </w:rPr>
        <w:t>（</w:t>
      </w:r>
      <w:r>
        <w:t>1</w:t>
      </w:r>
      <w:r>
        <w:rPr>
          <w:rFonts w:hint="eastAsia"/>
        </w:rPr>
        <w:t>6）《1:500、1:1000、1:2000数字地形图测绘规范》（DB33/T 552-2014）</w:t>
      </w:r>
    </w:p>
    <w:p>
      <w:pPr>
        <w:pStyle w:val="45"/>
        <w:ind w:firstLine="560"/>
      </w:pPr>
      <w:r>
        <w:rPr>
          <w:rFonts w:hint="eastAsia"/>
        </w:rPr>
        <w:t>（</w:t>
      </w:r>
      <w:r>
        <w:t>1</w:t>
      </w:r>
      <w:r>
        <w:rPr>
          <w:rFonts w:hint="eastAsia"/>
        </w:rPr>
        <w:t>7）《基础地理信息要素分类与图形表达代码》（DB33/T 817-2010）</w:t>
      </w:r>
    </w:p>
    <w:p>
      <w:pPr>
        <w:pStyle w:val="45"/>
        <w:ind w:firstLine="560"/>
      </w:pPr>
      <w:r>
        <w:rPr>
          <w:rFonts w:hint="eastAsia"/>
        </w:rPr>
        <w:t>（</w:t>
      </w:r>
      <w:r>
        <w:t>1</w:t>
      </w:r>
      <w:r>
        <w:rPr>
          <w:rFonts w:hint="eastAsia"/>
        </w:rPr>
        <w:t>8）《测绘资质分级标准》（国测管发〔2014〕31号修订版）</w:t>
      </w:r>
    </w:p>
    <w:p>
      <w:pPr>
        <w:pStyle w:val="45"/>
        <w:ind w:firstLine="560"/>
      </w:pPr>
      <w:r>
        <w:rPr>
          <w:rFonts w:hint="eastAsia"/>
        </w:rPr>
        <w:t>（19）其它技术标准、规范、规程</w:t>
      </w:r>
    </w:p>
    <w:p>
      <w:pPr>
        <w:pStyle w:val="3"/>
        <w:ind w:left="0" w:firstLine="0"/>
      </w:pPr>
      <w:bookmarkStart w:id="47" w:name="_Toc28789"/>
      <w:r>
        <w:rPr>
          <w:rFonts w:hint="eastAsia"/>
        </w:rPr>
        <w:t>组织实施情况</w:t>
      </w:r>
      <w:bookmarkEnd w:id="37"/>
      <w:bookmarkEnd w:id="38"/>
      <w:bookmarkEnd w:id="47"/>
    </w:p>
    <w:p>
      <w:pPr>
        <w:pStyle w:val="45"/>
        <w:ind w:firstLine="560"/>
        <w:rPr>
          <w:rFonts w:ascii="宋体" w:hAnsi="宋体" w:eastAsia="宋体" w:cs="宋体"/>
        </w:rPr>
      </w:pPr>
      <w:r>
        <w:rPr>
          <w:rFonts w:hint="eastAsia" w:ascii="宋体" w:hAnsi="宋体" w:eastAsia="宋体" w:cs="宋体"/>
        </w:rPr>
        <w:t>道县河道划界工作由道县水利局组织实施，通过公开招投标确定湖南省地质矿产勘查开发局四0九队作为技术支持单位，具体分工如下：</w:t>
      </w:r>
    </w:p>
    <w:p>
      <w:pPr>
        <w:pStyle w:val="45"/>
        <w:ind w:firstLine="560"/>
        <w:rPr>
          <w:rFonts w:ascii="宋体" w:hAnsi="宋体" w:eastAsia="宋体" w:cs="宋体"/>
        </w:rPr>
      </w:pPr>
      <w:r>
        <w:rPr>
          <w:rFonts w:hint="eastAsia" w:ascii="宋体" w:hAnsi="宋体" w:eastAsia="宋体" w:cs="宋体"/>
        </w:rPr>
        <w:t>（1）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5"/>
        <w:ind w:firstLine="560"/>
        <w:rPr>
          <w:rFonts w:ascii="宋体" w:hAnsi="宋体" w:eastAsia="宋体" w:cs="宋体"/>
        </w:rPr>
      </w:pPr>
      <w:r>
        <w:rPr>
          <w:rFonts w:hint="eastAsia" w:ascii="宋体" w:hAnsi="宋体" w:eastAsia="宋体" w:cs="宋体"/>
        </w:rPr>
        <w:t>（2）道县自然资源局负责提供农村集体土地所有权确权相关成果、水利工程用地审批和登记等相关资料，负责组织对农村土地所有权调查成果有出入或变化河段重新进行指界。</w:t>
      </w:r>
    </w:p>
    <w:p>
      <w:pPr>
        <w:pStyle w:val="45"/>
        <w:ind w:firstLine="560"/>
        <w:rPr>
          <w:rFonts w:ascii="宋体" w:hAnsi="宋体" w:eastAsia="宋体" w:cs="宋体"/>
        </w:rPr>
      </w:pPr>
      <w:r>
        <w:rPr>
          <w:rFonts w:hint="eastAsia" w:ascii="宋体" w:hAnsi="宋体" w:eastAsia="宋体" w:cs="宋体"/>
        </w:rPr>
        <w:t>（3）技术单位负责界线划定工作底图制作、管理范围划定、管理范围划定公告图制作、管理范围划定报告编制、权属调查等技术层面工作。</w:t>
      </w:r>
    </w:p>
    <w:p>
      <w:pPr>
        <w:pStyle w:val="4"/>
        <w:ind w:left="0" w:firstLine="0"/>
      </w:pPr>
      <w:bookmarkStart w:id="48" w:name="_Toc22151"/>
      <w:bookmarkStart w:id="49" w:name="_Toc15228278"/>
      <w:bookmarkStart w:id="50" w:name="_Toc15233139"/>
      <w:r>
        <w:rPr>
          <w:rFonts w:hint="eastAsia"/>
        </w:rPr>
        <w:t>已有资料收集</w:t>
      </w:r>
      <w:bookmarkEnd w:id="48"/>
      <w:bookmarkEnd w:id="49"/>
      <w:bookmarkEnd w:id="50"/>
    </w:p>
    <w:p>
      <w:pPr>
        <w:pStyle w:val="45"/>
        <w:ind w:firstLine="560"/>
        <w:rPr>
          <w:rFonts w:ascii="宋体" w:hAnsi="宋体" w:eastAsia="宋体" w:cs="宋体"/>
        </w:rPr>
      </w:pPr>
      <w:r>
        <w:rPr>
          <w:rFonts w:hint="eastAsia" w:ascii="宋体" w:hAnsi="宋体" w:eastAsia="宋体" w:cs="宋体"/>
        </w:rPr>
        <w:t>项目已收集的资料和资料来源如下：</w:t>
      </w:r>
    </w:p>
    <w:p>
      <w:pPr>
        <w:pStyle w:val="45"/>
        <w:ind w:firstLine="560"/>
        <w:rPr>
          <w:rFonts w:ascii="宋体" w:hAnsi="宋体" w:eastAsia="宋体" w:cs="宋体"/>
        </w:rPr>
      </w:pPr>
      <w:r>
        <w:rPr>
          <w:rFonts w:hint="eastAsia" w:ascii="宋体" w:hAnsi="宋体" w:eastAsia="宋体" w:cs="宋体"/>
        </w:rPr>
        <w:t>（1）道县不动产统一登记基础数据建设项目相关资料，包括1:2000数字正射影像、1:2000数字线划图加密成果，资源来源于湖南省水利水电科学研究院。</w:t>
      </w:r>
    </w:p>
    <w:p>
      <w:pPr>
        <w:pStyle w:val="45"/>
        <w:ind w:firstLine="560"/>
        <w:rPr>
          <w:rFonts w:ascii="宋体" w:hAnsi="宋体" w:eastAsia="宋体" w:cs="宋体"/>
        </w:rPr>
      </w:pPr>
      <w:r>
        <w:rPr>
          <w:rFonts w:hint="eastAsia" w:ascii="宋体" w:hAnsi="宋体" w:eastAsia="宋体" w:cs="宋体"/>
        </w:rPr>
        <w:t>（2）道县农村集体土地所有权确权调査成果资料，资源来源于湖南省水利水电科学研究院。</w:t>
      </w:r>
    </w:p>
    <w:p>
      <w:pPr>
        <w:pStyle w:val="45"/>
        <w:ind w:firstLine="560"/>
        <w:rPr>
          <w:rFonts w:ascii="宋体" w:hAnsi="宋体" w:eastAsia="宋体" w:cs="宋体"/>
        </w:rPr>
      </w:pPr>
      <w:r>
        <w:rPr>
          <w:rFonts w:hint="eastAsia" w:ascii="宋体" w:hAnsi="宋体" w:eastAsia="宋体" w:cs="宋体"/>
        </w:rPr>
        <w:t xml:space="preserve">（3）收集道县河道划界资料汇编资料、道县第一次水利普查成果相关资料，资源来源于道县水利局。 </w:t>
      </w:r>
    </w:p>
    <w:p>
      <w:pPr>
        <w:pStyle w:val="45"/>
        <w:ind w:firstLine="560"/>
        <w:rPr>
          <w:rFonts w:ascii="宋体" w:hAnsi="宋体" w:eastAsia="宋体" w:cs="宋体"/>
        </w:rPr>
      </w:pPr>
      <w:r>
        <w:rPr>
          <w:rFonts w:hint="eastAsia" w:ascii="宋体" w:hAnsi="宋体" w:eastAsia="宋体" w:cs="宋体"/>
        </w:rPr>
        <w:t>（4）道县1:2000数字线划图成果资料，资源来源于永州市自然资源局信息中心。</w:t>
      </w:r>
    </w:p>
    <w:p>
      <w:pPr>
        <w:pStyle w:val="45"/>
        <w:ind w:firstLine="560"/>
      </w:pPr>
      <w:r>
        <w:rPr>
          <w:rFonts w:hint="eastAsia" w:ascii="宋体" w:hAnsi="宋体" w:eastAsia="宋体" w:cs="宋体"/>
        </w:rPr>
        <w:t>（5）道县农村土地承包经营权确权项目数据库、DOM正射影像底图，资源来源于道县农村经营管理局；</w:t>
      </w:r>
    </w:p>
    <w:p>
      <w:pPr>
        <w:pStyle w:val="4"/>
        <w:ind w:left="0" w:firstLine="0"/>
      </w:pPr>
      <w:bookmarkStart w:id="51" w:name="_Toc15233140"/>
      <w:bookmarkStart w:id="52" w:name="_Toc29905"/>
      <w:bookmarkStart w:id="53" w:name="_Toc15228279"/>
      <w:r>
        <w:rPr>
          <w:rFonts w:hint="eastAsia"/>
        </w:rPr>
        <w:t>工作底图制作</w:t>
      </w:r>
      <w:bookmarkEnd w:id="51"/>
      <w:bookmarkEnd w:id="52"/>
      <w:bookmarkEnd w:id="53"/>
    </w:p>
    <w:p>
      <w:pPr>
        <w:pStyle w:val="5"/>
        <w:ind w:left="0" w:firstLine="0"/>
      </w:pPr>
      <w:bookmarkStart w:id="54" w:name="_Toc15233141"/>
      <w:bookmarkStart w:id="55" w:name="_Toc3681"/>
      <w:bookmarkStart w:id="56" w:name="_Toc15228280"/>
      <w:r>
        <w:rPr>
          <w:rFonts w:hint="eastAsia"/>
        </w:rPr>
        <w:t>已有资料预处理</w:t>
      </w:r>
      <w:bookmarkEnd w:id="54"/>
      <w:bookmarkEnd w:id="55"/>
      <w:bookmarkEnd w:id="56"/>
    </w:p>
    <w:p>
      <w:pPr>
        <w:pStyle w:val="2"/>
        <w:spacing w:line="480" w:lineRule="auto"/>
        <w:ind w:firstLine="420" w:firstLineChars="150"/>
        <w:rPr>
          <w:rFonts w:ascii="宋体" w:hAnsi="宋体" w:eastAsia="宋体" w:cs="宋体"/>
          <w:sz w:val="28"/>
        </w:rPr>
      </w:pPr>
      <w:r>
        <w:rPr>
          <w:rFonts w:hint="eastAsia" w:ascii="宋体" w:hAnsi="宋体" w:eastAsia="宋体" w:cs="宋体"/>
          <w:sz w:val="28"/>
        </w:rPr>
        <w:t>（1）对于无堤防河段的洪水位值进行高程基准转换，将收集到的无堤防河段所有洪水位值高程基准转换统一到1985国家高程基准。</w:t>
      </w:r>
    </w:p>
    <w:p>
      <w:pPr>
        <w:pStyle w:val="2"/>
        <w:spacing w:line="480" w:lineRule="auto"/>
        <w:ind w:firstLine="480"/>
        <w:rPr>
          <w:rFonts w:ascii="宋体" w:hAnsi="宋体" w:eastAsia="宋体" w:cs="宋体"/>
          <w:sz w:val="28"/>
        </w:rPr>
      </w:pPr>
      <w:r>
        <w:rPr>
          <w:rFonts w:hint="eastAsia" w:ascii="宋体" w:hAnsi="宋体" w:eastAsia="宋体" w:cs="宋体"/>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rFonts w:ascii="宋体" w:hAnsi="宋体" w:eastAsia="宋体" w:cs="宋体"/>
          <w:sz w:val="28"/>
        </w:rPr>
      </w:pPr>
      <w:r>
        <w:rPr>
          <w:rFonts w:hint="eastAsia" w:ascii="宋体" w:hAnsi="宋体" w:eastAsia="宋体" w:cs="宋体"/>
          <w:sz w:val="28"/>
        </w:rPr>
        <w:t>（3）将收集到的重要纸质资料进行矢量化处理。</w:t>
      </w:r>
    </w:p>
    <w:p>
      <w:pPr>
        <w:pStyle w:val="5"/>
        <w:ind w:left="0" w:firstLine="0"/>
      </w:pPr>
      <w:bookmarkStart w:id="57" w:name="_Toc15233142"/>
      <w:bookmarkStart w:id="58" w:name="_Toc29335"/>
      <w:bookmarkStart w:id="59" w:name="_Toc15228281"/>
      <w:r>
        <w:rPr>
          <w:rFonts w:hint="eastAsia"/>
        </w:rPr>
        <w:t>河湖划界参考要素补充采集</w:t>
      </w:r>
      <w:bookmarkEnd w:id="57"/>
      <w:bookmarkEnd w:id="58"/>
      <w:bookmarkEnd w:id="59"/>
    </w:p>
    <w:p>
      <w:pPr>
        <w:pStyle w:val="2"/>
        <w:spacing w:line="480" w:lineRule="auto"/>
        <w:ind w:firstLine="560" w:firstLineChars="200"/>
        <w:rPr>
          <w:sz w:val="28"/>
        </w:rPr>
      </w:pPr>
      <w:r>
        <w:rPr>
          <w:rFonts w:hint="eastAsia"/>
          <w:sz w:val="28"/>
        </w:rPr>
        <w:t>在航测立体釆集系统下，正确设置立体测图所用的各种参数，恢复航摄数字影像的立体模型，基于1:2000航摄资料补充采集水域外围100米范围内对于河道管理范围划界有参照基准作用的相关地物要素，包括等高线、河口线等，遇到山体或城区时可根据需要适当缩小测量范围</w:t>
      </w:r>
      <w:r>
        <w:rPr>
          <w:rFonts w:hint="eastAsia" w:ascii="宋体" w:hAnsi="宋体" w:eastAsia="宋体" w:cs="宋体"/>
          <w:sz w:val="28"/>
        </w:rPr>
        <w:t>。</w:t>
      </w:r>
    </w:p>
    <w:p>
      <w:pPr>
        <w:pStyle w:val="5"/>
        <w:ind w:left="0" w:firstLine="0"/>
      </w:pPr>
      <w:bookmarkStart w:id="60" w:name="_Toc15228282"/>
      <w:bookmarkStart w:id="61" w:name="_Toc18611"/>
      <w:bookmarkStart w:id="62" w:name="_Toc15233143"/>
      <w:r>
        <w:rPr>
          <w:rFonts w:hint="eastAsia"/>
        </w:rPr>
        <w:t>地形图补充测量</w:t>
      </w:r>
      <w:bookmarkEnd w:id="60"/>
      <w:bookmarkEnd w:id="61"/>
      <w:bookmarkEnd w:id="62"/>
    </w:p>
    <w:p>
      <w:pPr>
        <w:pStyle w:val="2"/>
        <w:spacing w:line="480" w:lineRule="auto"/>
        <w:ind w:firstLine="560" w:firstLineChars="200"/>
        <w:rPr>
          <w:rFonts w:ascii="宋体" w:hAnsi="宋体" w:eastAsia="宋体" w:cs="宋体"/>
          <w:sz w:val="28"/>
        </w:rPr>
      </w:pPr>
      <w:r>
        <w:rPr>
          <w:rFonts w:hint="eastAsia"/>
          <w:sz w:val="28"/>
        </w:rPr>
        <w:t>我队收集了河段1:2000数字正射影像、1:2000数字线划图、原始航摄影像、空三加密成果以及其它大比例尺基础地理信息，地形图及影像图满足河道划界要求。补测了设计洪水位计算所需的实测河道横断面26个</w:t>
      </w:r>
      <w:r>
        <w:rPr>
          <w:rFonts w:hint="eastAsia" w:ascii="宋体" w:hAnsi="宋体" w:eastAsia="宋体" w:cs="宋体"/>
          <w:sz w:val="28"/>
        </w:rPr>
        <w:t>。</w:t>
      </w:r>
    </w:p>
    <w:p>
      <w:pPr>
        <w:pStyle w:val="5"/>
        <w:ind w:left="0" w:firstLine="0"/>
      </w:pPr>
      <w:bookmarkStart w:id="63" w:name="_Toc15228283"/>
      <w:bookmarkStart w:id="64" w:name="_Toc15233144"/>
      <w:bookmarkStart w:id="65" w:name="_Toc15834"/>
      <w:r>
        <w:rPr>
          <w:rFonts w:hint="eastAsia"/>
        </w:rPr>
        <w:t>数据整合</w:t>
      </w:r>
      <w:bookmarkEnd w:id="63"/>
      <w:bookmarkEnd w:id="64"/>
      <w:bookmarkEnd w:id="65"/>
    </w:p>
    <w:p>
      <w:pPr>
        <w:pStyle w:val="2"/>
        <w:spacing w:line="480" w:lineRule="auto"/>
        <w:ind w:firstLine="480"/>
        <w:rPr>
          <w:rFonts w:ascii="宋体" w:hAnsi="宋体" w:eastAsia="宋体" w:cs="宋体"/>
          <w:sz w:val="28"/>
        </w:rPr>
      </w:pPr>
      <w:r>
        <w:rPr>
          <w:rFonts w:hint="eastAsia" w:ascii="宋体" w:hAnsi="宋体" w:eastAsia="宋体" w:cs="宋体"/>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rFonts w:ascii="宋体" w:hAnsi="宋体" w:eastAsia="宋体" w:cs="宋体"/>
          <w:sz w:val="28"/>
        </w:rPr>
      </w:pPr>
      <w:r>
        <w:rPr>
          <w:rFonts w:hint="eastAsia" w:ascii="宋体" w:hAnsi="宋体" w:eastAsia="宋体" w:cs="宋体"/>
          <w:sz w:val="28"/>
        </w:rPr>
        <w:t>（2）对有空间地理数据的堤防规划和权源资料进行格式转换、坐标转换等处理，对无空间地理数据的堤防规划和权源资料尽量根据界桩点坐标和文字说明进行矢量化，形成空间数据。</w:t>
      </w:r>
    </w:p>
    <w:p>
      <w:pPr>
        <w:pStyle w:val="45"/>
        <w:ind w:firstLine="560"/>
      </w:pPr>
      <w:r>
        <w:rPr>
          <w:rFonts w:hint="eastAsia" w:ascii="宋体" w:hAnsi="宋体" w:eastAsia="宋体" w:cs="宋体"/>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66" w:name="_Toc15233145"/>
      <w:bookmarkStart w:id="67" w:name="_Toc15228284"/>
      <w:bookmarkStart w:id="68" w:name="_Toc14563"/>
      <w:r>
        <w:rPr>
          <w:rFonts w:hint="eastAsia"/>
        </w:rPr>
        <w:t>管理范围室内初步划定</w:t>
      </w:r>
      <w:bookmarkEnd w:id="66"/>
      <w:bookmarkEnd w:id="67"/>
      <w:bookmarkEnd w:id="68"/>
    </w:p>
    <w:p>
      <w:pPr>
        <w:pStyle w:val="5"/>
        <w:ind w:left="0" w:firstLine="0"/>
      </w:pPr>
      <w:bookmarkStart w:id="69" w:name="_Toc15233146"/>
      <w:bookmarkStart w:id="70" w:name="_Toc15228285"/>
      <w:bookmarkStart w:id="71" w:name="_Toc13693"/>
      <w:r>
        <w:rPr>
          <w:rFonts w:hint="eastAsia"/>
        </w:rPr>
        <w:t>洪水位分析计算</w:t>
      </w:r>
      <w:bookmarkEnd w:id="69"/>
      <w:bookmarkEnd w:id="70"/>
      <w:bookmarkEnd w:id="71"/>
    </w:p>
    <w:p>
      <w:pPr>
        <w:pStyle w:val="5"/>
        <w:numPr>
          <w:ilvl w:val="2"/>
          <w:numId w:val="0"/>
        </w:numPr>
        <w:rPr>
          <w:b w:val="0"/>
          <w:bCs w:val="0"/>
        </w:rPr>
      </w:pPr>
      <w:bookmarkStart w:id="72" w:name="_Toc32137"/>
      <w:bookmarkStart w:id="73" w:name="_Toc10428"/>
      <w:bookmarkStart w:id="74" w:name="_Toc16122"/>
      <w:bookmarkStart w:id="75" w:name="_Toc15233147"/>
      <w:bookmarkStart w:id="76" w:name="_Toc15228286"/>
      <w:r>
        <w:rPr>
          <w:b w:val="0"/>
          <w:bCs w:val="0"/>
        </w:rPr>
        <w:t>4.3.1</w:t>
      </w:r>
      <w:r>
        <w:rPr>
          <w:rFonts w:hint="eastAsia"/>
          <w:b w:val="0"/>
          <w:bCs w:val="0"/>
        </w:rPr>
        <w:t>.1 设计洪水标准</w:t>
      </w:r>
      <w:bookmarkEnd w:id="72"/>
      <w:bookmarkEnd w:id="73"/>
      <w:bookmarkEnd w:id="74"/>
    </w:p>
    <w:p>
      <w:pPr>
        <w:pStyle w:val="2"/>
        <w:spacing w:line="480" w:lineRule="auto"/>
        <w:ind w:firstLine="560" w:firstLineChars="200"/>
        <w:rPr>
          <w:b/>
        </w:rPr>
      </w:pPr>
      <w:r>
        <w:rPr>
          <w:rFonts w:hint="eastAsia" w:asciiTheme="minorEastAsia" w:hAnsiTheme="minorEastAsia" w:cstheme="minor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的防护区，应根据人口或耕地面积分为四个等级，各等级的防洪标准见表4。</w:t>
      </w:r>
    </w:p>
    <w:p>
      <w:pPr>
        <w:rPr>
          <w:b/>
        </w:rPr>
      </w:pPr>
      <w:r>
        <w:rPr>
          <w:rFonts w:hint="eastAsia"/>
          <w:b/>
        </w:rPr>
        <w:t>表4                  乡村防护区的防护等级和防洪标准</w:t>
      </w:r>
    </w:p>
    <w:tbl>
      <w:tblPr>
        <w:tblStyle w:val="2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vAlign w:val="center"/>
          </w:tcPr>
          <w:p>
            <w:pPr>
              <w:snapToGrid w:val="0"/>
              <w:spacing w:line="440" w:lineRule="exact"/>
              <w:jc w:val="center"/>
              <w:rPr>
                <w:szCs w:val="21"/>
              </w:rPr>
            </w:pPr>
            <w:r>
              <w:rPr>
                <w:szCs w:val="21"/>
              </w:rPr>
              <w:t>等级</w:t>
            </w:r>
          </w:p>
        </w:tc>
        <w:tc>
          <w:tcPr>
            <w:tcW w:w="2401" w:type="dxa"/>
            <w:vAlign w:val="center"/>
          </w:tcPr>
          <w:p>
            <w:pPr>
              <w:snapToGrid w:val="0"/>
              <w:spacing w:line="440" w:lineRule="exact"/>
              <w:jc w:val="center"/>
              <w:rPr>
                <w:szCs w:val="21"/>
              </w:rPr>
            </w:pPr>
            <w:r>
              <w:rPr>
                <w:rFonts w:hint="eastAsia"/>
                <w:szCs w:val="21"/>
              </w:rPr>
              <w:t>人口(万人)</w:t>
            </w:r>
          </w:p>
        </w:tc>
        <w:tc>
          <w:tcPr>
            <w:tcW w:w="2587" w:type="dxa"/>
            <w:vAlign w:val="center"/>
          </w:tcPr>
          <w:p>
            <w:pPr>
              <w:snapToGrid w:val="0"/>
              <w:spacing w:line="440" w:lineRule="exact"/>
              <w:jc w:val="center"/>
              <w:rPr>
                <w:rFonts w:eastAsia="宋体"/>
                <w:szCs w:val="21"/>
              </w:rPr>
            </w:pPr>
            <w:r>
              <w:rPr>
                <w:rFonts w:hint="eastAsia"/>
                <w:szCs w:val="21"/>
              </w:rPr>
              <w:t>耕地面积(万亩)</w:t>
            </w:r>
          </w:p>
        </w:tc>
        <w:tc>
          <w:tcPr>
            <w:tcW w:w="2673" w:type="dxa"/>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vAlign w:val="center"/>
          </w:tcPr>
          <w:p>
            <w:pPr>
              <w:snapToGrid w:val="0"/>
              <w:spacing w:line="440" w:lineRule="exact"/>
              <w:jc w:val="center"/>
              <w:rPr>
                <w:szCs w:val="21"/>
              </w:rPr>
            </w:pPr>
            <w:r>
              <w:rPr>
                <w:szCs w:val="21"/>
              </w:rPr>
              <w:t>Ⅰ</w:t>
            </w:r>
          </w:p>
        </w:tc>
        <w:tc>
          <w:tcPr>
            <w:tcW w:w="2401" w:type="dxa"/>
            <w:vAlign w:val="center"/>
          </w:tcPr>
          <w:p>
            <w:pPr>
              <w:snapToGrid w:val="0"/>
              <w:spacing w:line="440" w:lineRule="exact"/>
              <w:jc w:val="center"/>
              <w:rPr>
                <w:szCs w:val="21"/>
              </w:rPr>
            </w:pPr>
            <w:r>
              <w:rPr>
                <w:szCs w:val="21"/>
              </w:rPr>
              <w:t>&gt;150</w:t>
            </w:r>
          </w:p>
        </w:tc>
        <w:tc>
          <w:tcPr>
            <w:tcW w:w="2587" w:type="dxa"/>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vAlign w:val="center"/>
          </w:tcPr>
          <w:p>
            <w:pPr>
              <w:snapToGrid w:val="0"/>
              <w:spacing w:line="440" w:lineRule="exact"/>
              <w:jc w:val="center"/>
              <w:rPr>
                <w:szCs w:val="21"/>
              </w:rPr>
            </w:pPr>
            <w:r>
              <w:rPr>
                <w:szCs w:val="21"/>
              </w:rPr>
              <w:t>Ⅱ</w:t>
            </w:r>
          </w:p>
        </w:tc>
        <w:tc>
          <w:tcPr>
            <w:tcW w:w="2401" w:type="dxa"/>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vAlign w:val="center"/>
          </w:tcPr>
          <w:p>
            <w:pPr>
              <w:snapToGrid w:val="0"/>
              <w:spacing w:line="440" w:lineRule="exact"/>
              <w:jc w:val="center"/>
              <w:rPr>
                <w:szCs w:val="21"/>
              </w:rPr>
            </w:pPr>
            <w:r>
              <w:rPr>
                <w:szCs w:val="21"/>
              </w:rPr>
              <w:t>Ⅲ</w:t>
            </w:r>
          </w:p>
        </w:tc>
        <w:tc>
          <w:tcPr>
            <w:tcW w:w="2401" w:type="dxa"/>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vAlign w:val="center"/>
          </w:tcPr>
          <w:p>
            <w:pPr>
              <w:snapToGrid w:val="0"/>
              <w:spacing w:line="440" w:lineRule="exact"/>
              <w:jc w:val="center"/>
              <w:rPr>
                <w:szCs w:val="21"/>
              </w:rPr>
            </w:pPr>
            <w:r>
              <w:rPr>
                <w:szCs w:val="21"/>
              </w:rPr>
              <w:t>Ⅳ</w:t>
            </w:r>
          </w:p>
        </w:tc>
        <w:tc>
          <w:tcPr>
            <w:tcW w:w="2401" w:type="dxa"/>
            <w:vAlign w:val="center"/>
          </w:tcPr>
          <w:p>
            <w:pPr>
              <w:snapToGrid w:val="0"/>
              <w:spacing w:line="440" w:lineRule="exact"/>
              <w:jc w:val="center"/>
              <w:rPr>
                <w:szCs w:val="21"/>
              </w:rPr>
            </w:pPr>
            <w:r>
              <w:rPr>
                <w:szCs w:val="21"/>
              </w:rPr>
              <w:t>&lt;20</w:t>
            </w:r>
          </w:p>
        </w:tc>
        <w:tc>
          <w:tcPr>
            <w:tcW w:w="2587" w:type="dxa"/>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2"/>
        <w:spacing w:line="480" w:lineRule="auto"/>
        <w:ind w:firstLine="480"/>
        <w:rPr>
          <w:sz w:val="28"/>
        </w:rPr>
      </w:pPr>
      <w:r>
        <w:rPr>
          <w:rFonts w:hint="eastAsia"/>
          <w:sz w:val="28"/>
        </w:rPr>
        <w:t>宜阳河道县河段沿岸经过乡村地段，由上表可知本河段防洪标准为10年一遇。</w:t>
      </w:r>
    </w:p>
    <w:p>
      <w:pPr>
        <w:pStyle w:val="5"/>
        <w:numPr>
          <w:ilvl w:val="2"/>
          <w:numId w:val="0"/>
        </w:numPr>
        <w:rPr>
          <w:b w:val="0"/>
          <w:bCs w:val="0"/>
        </w:rPr>
      </w:pPr>
      <w:bookmarkStart w:id="77" w:name="_Toc2901"/>
      <w:bookmarkStart w:id="78" w:name="_Toc2045"/>
      <w:r>
        <w:rPr>
          <w:b w:val="0"/>
          <w:bCs w:val="0"/>
        </w:rPr>
        <w:t>4.3.1</w:t>
      </w:r>
      <w:r>
        <w:rPr>
          <w:rFonts w:hint="eastAsia"/>
          <w:b w:val="0"/>
          <w:bCs w:val="0"/>
        </w:rPr>
        <w:t>.2 水文基本资料</w:t>
      </w:r>
      <w:bookmarkEnd w:id="77"/>
      <w:bookmarkEnd w:id="78"/>
    </w:p>
    <w:p>
      <w:pPr>
        <w:pStyle w:val="2"/>
        <w:spacing w:line="480" w:lineRule="auto"/>
        <w:ind w:firstLine="480"/>
        <w:rPr>
          <w:sz w:val="28"/>
        </w:rPr>
      </w:pPr>
      <w:r>
        <w:rPr>
          <w:rFonts w:hint="eastAsia"/>
          <w:sz w:val="28"/>
        </w:rPr>
        <w:t>宜阳河流域内没有实测的水文测站资料。</w:t>
      </w:r>
    </w:p>
    <w:p>
      <w:pPr>
        <w:pStyle w:val="5"/>
        <w:numPr>
          <w:ilvl w:val="2"/>
          <w:numId w:val="0"/>
        </w:numPr>
        <w:rPr>
          <w:b w:val="0"/>
          <w:bCs w:val="0"/>
        </w:rPr>
      </w:pPr>
      <w:bookmarkStart w:id="79" w:name="_Toc30654"/>
      <w:bookmarkStart w:id="80" w:name="_Toc19761"/>
      <w:bookmarkStart w:id="81" w:name="_Toc827"/>
      <w:r>
        <w:rPr>
          <w:b w:val="0"/>
          <w:bCs w:val="0"/>
        </w:rPr>
        <w:t>4.3.1</w:t>
      </w:r>
      <w:r>
        <w:rPr>
          <w:rFonts w:hint="eastAsia"/>
          <w:b w:val="0"/>
          <w:bCs w:val="0"/>
        </w:rPr>
        <w:t>.3 断面资料</w:t>
      </w:r>
      <w:bookmarkEnd w:id="79"/>
      <w:bookmarkEnd w:id="80"/>
      <w:bookmarkEnd w:id="81"/>
    </w:p>
    <w:p>
      <w:pPr>
        <w:pStyle w:val="2"/>
        <w:spacing w:line="480" w:lineRule="auto"/>
        <w:ind w:firstLine="480"/>
        <w:rPr>
          <w:sz w:val="28"/>
        </w:rPr>
      </w:pPr>
      <w:r>
        <w:rPr>
          <w:sz w:val="28"/>
        </w:rPr>
        <w:t>本</w:t>
      </w:r>
      <w:r>
        <w:rPr>
          <w:rFonts w:hint="eastAsia"/>
          <w:sz w:val="28"/>
        </w:rPr>
        <w:t>次</w:t>
      </w:r>
      <w:r>
        <w:rPr>
          <w:sz w:val="28"/>
        </w:rPr>
        <w:t>在</w:t>
      </w:r>
      <w:r>
        <w:rPr>
          <w:rFonts w:hint="eastAsia"/>
          <w:sz w:val="28"/>
        </w:rPr>
        <w:t>宜阳河永州市道县河段划定的管理范围</w:t>
      </w:r>
      <w:r>
        <w:rPr>
          <w:sz w:val="28"/>
        </w:rPr>
        <w:t>进行了</w:t>
      </w:r>
      <w:r>
        <w:rPr>
          <w:rFonts w:hint="eastAsia"/>
          <w:sz w:val="28"/>
        </w:rPr>
        <w:t>纵</w:t>
      </w:r>
      <w:r>
        <w:rPr>
          <w:sz w:val="28"/>
        </w:rPr>
        <w:t>横断面测量</w:t>
      </w:r>
      <w:r>
        <w:rPr>
          <w:rFonts w:hint="eastAsia"/>
          <w:sz w:val="28"/>
        </w:rPr>
        <w:t>，</w:t>
      </w:r>
      <w:r>
        <w:rPr>
          <w:sz w:val="28"/>
        </w:rPr>
        <w:t>共</w:t>
      </w:r>
      <w:r>
        <w:rPr>
          <w:rFonts w:hint="eastAsia"/>
          <w:sz w:val="28"/>
        </w:rPr>
        <w:t>实测河道横断面26个</w:t>
      </w:r>
      <w:r>
        <w:rPr>
          <w:sz w:val="28"/>
        </w:rPr>
        <w:t>。上述横断面能</w:t>
      </w:r>
      <w:r>
        <w:rPr>
          <w:rFonts w:hint="eastAsia"/>
          <w:sz w:val="28"/>
        </w:rPr>
        <w:t>很</w:t>
      </w:r>
      <w:r>
        <w:rPr>
          <w:sz w:val="28"/>
        </w:rPr>
        <w:t>好地反映河道的形态变化，</w:t>
      </w:r>
      <w:r>
        <w:rPr>
          <w:rFonts w:hint="eastAsia"/>
          <w:sz w:val="28"/>
        </w:rPr>
        <w:t>完全能够</w:t>
      </w:r>
      <w:r>
        <w:rPr>
          <w:sz w:val="28"/>
        </w:rPr>
        <w:t>满足本阶段设计的要求</w:t>
      </w:r>
      <w:r>
        <w:rPr>
          <w:rFonts w:hint="eastAsia"/>
          <w:sz w:val="28"/>
        </w:rPr>
        <w:t>。</w:t>
      </w:r>
    </w:p>
    <w:p>
      <w:pPr>
        <w:pStyle w:val="5"/>
        <w:numPr>
          <w:ilvl w:val="2"/>
          <w:numId w:val="0"/>
        </w:numPr>
        <w:rPr>
          <w:b w:val="0"/>
          <w:bCs w:val="0"/>
        </w:rPr>
      </w:pPr>
      <w:bookmarkStart w:id="82" w:name="_Toc19485"/>
      <w:bookmarkStart w:id="83" w:name="_Toc23110"/>
      <w:r>
        <w:rPr>
          <w:b w:val="0"/>
          <w:bCs w:val="0"/>
        </w:rPr>
        <w:t>4.3.1</w:t>
      </w:r>
      <w:r>
        <w:rPr>
          <w:rFonts w:hint="eastAsia"/>
          <w:b w:val="0"/>
          <w:bCs w:val="0"/>
        </w:rPr>
        <w:t>.4 设计洪水计算</w:t>
      </w:r>
      <w:bookmarkEnd w:id="82"/>
      <w:bookmarkEnd w:id="83"/>
    </w:p>
    <w:p>
      <w:pPr>
        <w:adjustRightInd w:val="0"/>
        <w:snapToGrid w:val="0"/>
        <w:spacing w:before="156" w:beforeLines="50" w:line="360" w:lineRule="auto"/>
        <w:ind w:firstLine="560" w:firstLineChars="200"/>
        <w:rPr>
          <w:sz w:val="28"/>
        </w:rPr>
      </w:pPr>
      <w:r>
        <w:rPr>
          <w:rFonts w:hint="eastAsia"/>
          <w:sz w:val="28"/>
        </w:rPr>
        <w:t>宜阳河道县段控制流域面积相对较小，河段内没有较大支流汇入，但在上游有一座中型水库，因此本次设计洪水计算以水库为界分为两段。即廊洞水库以上段和廊洞水库以下段，河段详细划分情况如表5，根据各河段的特性，分别计算其设计洪水。</w:t>
      </w:r>
    </w:p>
    <w:p>
      <w:pPr>
        <w:adjustRightInd w:val="0"/>
        <w:snapToGrid w:val="0"/>
        <w:spacing w:before="156" w:beforeLines="50" w:line="360" w:lineRule="auto"/>
        <w:rPr>
          <w:b/>
          <w:sz w:val="24"/>
          <w:szCs w:val="24"/>
        </w:rPr>
      </w:pPr>
      <w:r>
        <w:rPr>
          <w:b/>
        </w:rPr>
        <w:t>表</w:t>
      </w:r>
      <w:r>
        <w:rPr>
          <w:rFonts w:hint="eastAsia"/>
          <w:b/>
        </w:rPr>
        <w:t>5</w:t>
      </w:r>
      <w:r>
        <w:rPr>
          <w:b/>
        </w:rPr>
        <w:t xml:space="preserve">      </w:t>
      </w:r>
      <w:r>
        <w:rPr>
          <w:rFonts w:hint="eastAsia"/>
          <w:b/>
        </w:rPr>
        <w:t xml:space="preserve">           </w:t>
      </w:r>
      <w:r>
        <w:rPr>
          <w:rFonts w:hint="eastAsia"/>
          <w:b/>
          <w:sz w:val="24"/>
          <w:szCs w:val="24"/>
        </w:rPr>
        <w:t>宜阳河河道县河段设计洪水计算</w:t>
      </w:r>
      <w:r>
        <w:rPr>
          <w:b/>
          <w:sz w:val="24"/>
          <w:szCs w:val="24"/>
        </w:rPr>
        <w:t>分段情况表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542"/>
        <w:gridCol w:w="2598"/>
        <w:gridCol w:w="32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3" w:hRule="atLeast"/>
        </w:trPr>
        <w:tc>
          <w:tcPr>
            <w:tcW w:w="2542" w:type="dxa"/>
            <w:vAlign w:val="center"/>
          </w:tcPr>
          <w:p>
            <w:pPr>
              <w:adjustRightInd w:val="0"/>
              <w:snapToGrid w:val="0"/>
              <w:jc w:val="center"/>
            </w:pPr>
            <w:r>
              <w:t>河道区段</w:t>
            </w:r>
          </w:p>
        </w:tc>
        <w:tc>
          <w:tcPr>
            <w:tcW w:w="2598" w:type="dxa"/>
            <w:vAlign w:val="center"/>
          </w:tcPr>
          <w:p>
            <w:pPr>
              <w:adjustRightInd w:val="0"/>
              <w:snapToGrid w:val="0"/>
              <w:jc w:val="center"/>
              <w:rPr>
                <w:szCs w:val="21"/>
              </w:rPr>
            </w:pPr>
            <w:r>
              <w:rPr>
                <w:szCs w:val="21"/>
              </w:rPr>
              <w:t>第一区段</w:t>
            </w:r>
          </w:p>
        </w:tc>
        <w:tc>
          <w:tcPr>
            <w:tcW w:w="3260" w:type="dxa"/>
            <w:vAlign w:val="center"/>
          </w:tcPr>
          <w:p>
            <w:pPr>
              <w:adjustRightInd w:val="0"/>
              <w:snapToGrid w:val="0"/>
              <w:jc w:val="center"/>
              <w:rPr>
                <w:szCs w:val="21"/>
              </w:rPr>
            </w:pPr>
            <w:r>
              <w:rPr>
                <w:szCs w:val="21"/>
              </w:rPr>
              <w:t>第</w:t>
            </w:r>
            <w:r>
              <w:rPr>
                <w:rFonts w:hint="eastAsia"/>
                <w:szCs w:val="21"/>
              </w:rPr>
              <w:t>二</w:t>
            </w:r>
            <w:r>
              <w:rPr>
                <w:szCs w:val="21"/>
              </w:rPr>
              <w:t>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7" w:hRule="atLeast"/>
        </w:trPr>
        <w:tc>
          <w:tcPr>
            <w:tcW w:w="2542" w:type="dxa"/>
            <w:vAlign w:val="center"/>
          </w:tcPr>
          <w:p>
            <w:pPr>
              <w:adjustRightInd w:val="0"/>
              <w:snapToGrid w:val="0"/>
              <w:jc w:val="center"/>
            </w:pPr>
            <w:r>
              <w:t>区段名称</w:t>
            </w:r>
          </w:p>
        </w:tc>
        <w:tc>
          <w:tcPr>
            <w:tcW w:w="2598" w:type="dxa"/>
            <w:vAlign w:val="center"/>
          </w:tcPr>
          <w:p>
            <w:pPr>
              <w:adjustRightInd w:val="0"/>
              <w:snapToGrid w:val="0"/>
              <w:jc w:val="center"/>
              <w:rPr>
                <w:szCs w:val="21"/>
              </w:rPr>
            </w:pPr>
            <w:r>
              <w:rPr>
                <w:rFonts w:hint="eastAsia"/>
                <w:szCs w:val="21"/>
              </w:rPr>
              <w:t>廊洞水库以上段</w:t>
            </w:r>
          </w:p>
        </w:tc>
        <w:tc>
          <w:tcPr>
            <w:tcW w:w="3260" w:type="dxa"/>
            <w:vAlign w:val="center"/>
          </w:tcPr>
          <w:p>
            <w:pPr>
              <w:adjustRightInd w:val="0"/>
              <w:snapToGrid w:val="0"/>
              <w:jc w:val="center"/>
              <w:rPr>
                <w:szCs w:val="21"/>
              </w:rPr>
            </w:pPr>
            <w:r>
              <w:rPr>
                <w:rFonts w:hint="eastAsia"/>
                <w:szCs w:val="21"/>
              </w:rPr>
              <w:t>廊洞水库以下段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7" w:hRule="atLeast"/>
        </w:trPr>
        <w:tc>
          <w:tcPr>
            <w:tcW w:w="2542" w:type="dxa"/>
            <w:vAlign w:val="center"/>
          </w:tcPr>
          <w:p>
            <w:pPr>
              <w:adjustRightInd w:val="0"/>
              <w:snapToGrid w:val="0"/>
              <w:jc w:val="center"/>
              <w:rPr>
                <w:rFonts w:ascii="Times New Roman" w:hAnsi="Times New Roman" w:eastAsia="宋体" w:cs="Times New Roman"/>
                <w:szCs w:val="21"/>
              </w:rPr>
            </w:pPr>
            <w:r>
              <w:rPr>
                <w:rFonts w:hint="eastAsia"/>
              </w:rPr>
              <w:t>河流桩号</w:t>
            </w:r>
          </w:p>
        </w:tc>
        <w:tc>
          <w:tcPr>
            <w:tcW w:w="2598" w:type="dxa"/>
            <w:vAlign w:val="center"/>
          </w:tcPr>
          <w:p>
            <w:pPr>
              <w:adjustRightInd w:val="0"/>
              <w:snapToGrid w:val="0"/>
              <w:jc w:val="center"/>
              <w:rPr>
                <w:rFonts w:ascii="Times New Roman" w:hAnsi="Times New Roman" w:eastAsia="宋体" w:cs="Times New Roman"/>
                <w:szCs w:val="21"/>
              </w:rPr>
            </w:pPr>
            <w:r>
              <w:rPr>
                <w:rFonts w:hint="eastAsia"/>
                <w:szCs w:val="21"/>
              </w:rPr>
              <w:t>K11+195~K12+910</w:t>
            </w:r>
          </w:p>
        </w:tc>
        <w:tc>
          <w:tcPr>
            <w:tcW w:w="3260" w:type="dxa"/>
            <w:vAlign w:val="center"/>
          </w:tcPr>
          <w:p>
            <w:pPr>
              <w:adjustRightInd w:val="0"/>
              <w:snapToGrid w:val="0"/>
              <w:jc w:val="center"/>
              <w:rPr>
                <w:rFonts w:ascii="Times New Roman" w:hAnsi="Times New Roman" w:eastAsia="宋体" w:cs="Times New Roman"/>
                <w:szCs w:val="21"/>
              </w:rPr>
            </w:pPr>
            <w:r>
              <w:rPr>
                <w:rFonts w:hint="eastAsia"/>
                <w:szCs w:val="21"/>
              </w:rPr>
              <w:t>K0+000~K11+195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2" w:hRule="atLeast"/>
        </w:trPr>
        <w:tc>
          <w:tcPr>
            <w:tcW w:w="2542" w:type="dxa"/>
            <w:vAlign w:val="center"/>
          </w:tcPr>
          <w:p>
            <w:pPr>
              <w:adjustRightInd w:val="0"/>
              <w:snapToGrid w:val="0"/>
              <w:jc w:val="center"/>
            </w:pPr>
            <w:r>
              <w:t>河道长(km)</w:t>
            </w:r>
          </w:p>
        </w:tc>
        <w:tc>
          <w:tcPr>
            <w:tcW w:w="2598" w:type="dxa"/>
            <w:vAlign w:val="center"/>
          </w:tcPr>
          <w:p>
            <w:pPr>
              <w:adjustRightInd w:val="0"/>
              <w:snapToGrid w:val="0"/>
              <w:jc w:val="center"/>
              <w:rPr>
                <w:rFonts w:eastAsia="宋体"/>
              </w:rPr>
            </w:pPr>
            <w:r>
              <w:rPr>
                <w:rFonts w:hint="eastAsia"/>
              </w:rPr>
              <w:t>1.6</w:t>
            </w:r>
          </w:p>
        </w:tc>
        <w:tc>
          <w:tcPr>
            <w:tcW w:w="3260" w:type="dxa"/>
            <w:vAlign w:val="center"/>
          </w:tcPr>
          <w:p>
            <w:pPr>
              <w:adjustRightInd w:val="0"/>
              <w:snapToGrid w:val="0"/>
              <w:jc w:val="center"/>
              <w:rPr>
                <w:rFonts w:eastAsia="宋体"/>
              </w:rPr>
            </w:pPr>
            <w:r>
              <w:rPr>
                <w:rFonts w:hint="eastAsia"/>
              </w:rPr>
              <w:t>11.2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8" w:hRule="atLeast"/>
        </w:trPr>
        <w:tc>
          <w:tcPr>
            <w:tcW w:w="2542" w:type="dxa"/>
            <w:vAlign w:val="center"/>
          </w:tcPr>
          <w:p>
            <w:pPr>
              <w:adjustRightInd w:val="0"/>
              <w:snapToGrid w:val="0"/>
              <w:jc w:val="center"/>
            </w:pPr>
            <w:r>
              <w:t>集雨面积（km</w:t>
            </w:r>
            <w:r>
              <w:rPr>
                <w:vertAlign w:val="superscript"/>
              </w:rPr>
              <w:t>2</w:t>
            </w:r>
            <w:r>
              <w:t>）</w:t>
            </w:r>
          </w:p>
        </w:tc>
        <w:tc>
          <w:tcPr>
            <w:tcW w:w="2598" w:type="dxa"/>
            <w:vAlign w:val="center"/>
          </w:tcPr>
          <w:p>
            <w:pPr>
              <w:adjustRightInd w:val="0"/>
              <w:snapToGrid w:val="0"/>
              <w:jc w:val="center"/>
              <w:rPr>
                <w:rFonts w:eastAsia="宋体"/>
              </w:rPr>
            </w:pPr>
            <w:r>
              <w:rPr>
                <w:rFonts w:hint="eastAsia"/>
              </w:rPr>
              <w:t>35.6</w:t>
            </w:r>
          </w:p>
        </w:tc>
        <w:tc>
          <w:tcPr>
            <w:tcW w:w="3260" w:type="dxa"/>
            <w:vAlign w:val="center"/>
          </w:tcPr>
          <w:p>
            <w:pPr>
              <w:adjustRightInd w:val="0"/>
              <w:snapToGrid w:val="0"/>
              <w:jc w:val="center"/>
            </w:pPr>
            <w:r>
              <w:rPr>
                <w:rFonts w:hint="eastAsia"/>
              </w:rPr>
              <w:t>73.8</w:t>
            </w:r>
          </w:p>
        </w:tc>
      </w:tr>
    </w:tbl>
    <w:p>
      <w:pPr>
        <w:adjustRightInd w:val="0"/>
        <w:snapToGrid w:val="0"/>
        <w:spacing w:before="156" w:beforeLines="50" w:line="360" w:lineRule="auto"/>
        <w:ind w:firstLine="560" w:firstLineChars="200"/>
        <w:rPr>
          <w:sz w:val="28"/>
        </w:rPr>
      </w:pPr>
      <w:r>
        <w:rPr>
          <w:rFonts w:hint="eastAsia"/>
          <w:sz w:val="28"/>
        </w:rPr>
        <w:t>本次计算河段属于小流域，流域内没有水文测站资料，因此只能采用由设计暴雨推求设计洪水的计算方法。</w:t>
      </w:r>
    </w:p>
    <w:p>
      <w:pPr>
        <w:pStyle w:val="5"/>
        <w:numPr>
          <w:ilvl w:val="2"/>
          <w:numId w:val="0"/>
        </w:numPr>
        <w:rPr>
          <w:b w:val="0"/>
          <w:bCs w:val="0"/>
        </w:rPr>
      </w:pPr>
      <w:bookmarkStart w:id="84" w:name="_Toc9939"/>
      <w:r>
        <w:rPr>
          <w:b w:val="0"/>
          <w:bCs w:val="0"/>
        </w:rPr>
        <w:t>4.3.1</w:t>
      </w:r>
      <w:r>
        <w:rPr>
          <w:rFonts w:hint="eastAsia"/>
          <w:b w:val="0"/>
          <w:bCs w:val="0"/>
        </w:rPr>
        <w:t>.4.1</w:t>
      </w:r>
      <w:r>
        <w:rPr>
          <w:b w:val="0"/>
          <w:bCs w:val="0"/>
        </w:rPr>
        <w:t>设计暴雨计算</w:t>
      </w:r>
      <w:bookmarkEnd w:id="84"/>
    </w:p>
    <w:p>
      <w:pPr>
        <w:adjustRightInd w:val="0"/>
        <w:snapToGrid w:val="0"/>
        <w:spacing w:before="156" w:beforeLines="50" w:line="360" w:lineRule="auto"/>
        <w:ind w:firstLine="560" w:firstLineChars="200"/>
        <w:rPr>
          <w:rFonts w:hAnsi="宋体" w:eastAsia="宋体"/>
          <w:bCs/>
          <w:sz w:val="24"/>
        </w:rPr>
      </w:pPr>
      <w:r>
        <w:rPr>
          <w:sz w:val="28"/>
        </w:rPr>
        <w:t>由于</w:t>
      </w:r>
      <w:r>
        <w:rPr>
          <w:rFonts w:hint="eastAsia"/>
          <w:sz w:val="28"/>
        </w:rPr>
        <w:t>宜阳河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Cv=0..40，Cs/Cv=3.5。由统计参数计算的设计24h点暴雨量成果如表6。</w:t>
      </w:r>
      <w:r>
        <w:rPr>
          <w:rFonts w:hint="eastAsia" w:hAnsi="宋体" w:eastAsia="宋体"/>
          <w:bCs/>
          <w:sz w:val="24"/>
        </w:rPr>
        <w:t xml:space="preserve">               </w:t>
      </w:r>
    </w:p>
    <w:p>
      <w:pPr>
        <w:snapToGrid w:val="0"/>
        <w:spacing w:before="156" w:beforeLines="50" w:line="360" w:lineRule="auto"/>
        <w:rPr>
          <w:b/>
        </w:rPr>
      </w:pPr>
      <w:r>
        <w:rPr>
          <w:rFonts w:hint="eastAsia"/>
          <w:b/>
        </w:rPr>
        <w:t>表6                       最大24h暴雨参数表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vAlign w:val="center"/>
          </w:tcPr>
          <w:p>
            <w:pPr>
              <w:adjustRightInd w:val="0"/>
              <w:snapToGrid w:val="0"/>
              <w:jc w:val="center"/>
              <w:rPr>
                <w:rFonts w:eastAsia="宋体"/>
                <w:szCs w:val="21"/>
              </w:rPr>
            </w:pPr>
            <w:r>
              <w:rPr>
                <w:rFonts w:hAnsi="宋体" w:eastAsia="宋体"/>
                <w:szCs w:val="21"/>
              </w:rPr>
              <w:t>项目名称</w:t>
            </w:r>
          </w:p>
        </w:tc>
        <w:tc>
          <w:tcPr>
            <w:tcW w:w="3370" w:type="dxa"/>
            <w:gridSpan w:val="3"/>
            <w:vAlign w:val="center"/>
          </w:tcPr>
          <w:p>
            <w:pPr>
              <w:adjustRightInd w:val="0"/>
              <w:snapToGrid w:val="0"/>
              <w:jc w:val="center"/>
              <w:rPr>
                <w:rFonts w:eastAsia="宋体"/>
                <w:szCs w:val="21"/>
              </w:rPr>
            </w:pPr>
            <w:r>
              <w:rPr>
                <w:rFonts w:hAnsi="宋体" w:eastAsia="宋体"/>
                <w:szCs w:val="21"/>
              </w:rPr>
              <w:t>暴雨参数</w:t>
            </w:r>
          </w:p>
        </w:tc>
        <w:tc>
          <w:tcPr>
            <w:tcW w:w="3984" w:type="dxa"/>
            <w:gridSpan w:val="4"/>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vAlign w:val="center"/>
          </w:tcPr>
          <w:p>
            <w:pPr>
              <w:adjustRightInd w:val="0"/>
              <w:snapToGrid w:val="0"/>
              <w:jc w:val="center"/>
              <w:rPr>
                <w:rFonts w:eastAsia="宋体"/>
                <w:szCs w:val="21"/>
              </w:rPr>
            </w:pPr>
          </w:p>
        </w:tc>
        <w:tc>
          <w:tcPr>
            <w:tcW w:w="1149" w:type="dxa"/>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vAlign w:val="center"/>
          </w:tcPr>
          <w:p>
            <w:pPr>
              <w:adjustRightInd w:val="0"/>
              <w:snapToGrid w:val="0"/>
              <w:jc w:val="center"/>
              <w:rPr>
                <w:rFonts w:eastAsia="宋体"/>
                <w:szCs w:val="21"/>
              </w:rPr>
            </w:pPr>
            <w:r>
              <w:rPr>
                <w:rFonts w:eastAsia="宋体"/>
                <w:szCs w:val="21"/>
              </w:rPr>
              <w:t>P=1%</w:t>
            </w:r>
          </w:p>
        </w:tc>
        <w:tc>
          <w:tcPr>
            <w:tcW w:w="998" w:type="dxa"/>
            <w:vAlign w:val="center"/>
          </w:tcPr>
          <w:p>
            <w:pPr>
              <w:adjustRightInd w:val="0"/>
              <w:snapToGrid w:val="0"/>
              <w:jc w:val="center"/>
              <w:rPr>
                <w:rFonts w:eastAsia="宋体"/>
                <w:szCs w:val="21"/>
              </w:rPr>
            </w:pPr>
            <w:r>
              <w:rPr>
                <w:rFonts w:eastAsia="宋体"/>
                <w:szCs w:val="21"/>
              </w:rPr>
              <w:t>P=2%</w:t>
            </w:r>
          </w:p>
        </w:tc>
        <w:tc>
          <w:tcPr>
            <w:tcW w:w="996" w:type="dxa"/>
            <w:vAlign w:val="center"/>
          </w:tcPr>
          <w:p>
            <w:pPr>
              <w:adjustRightInd w:val="0"/>
              <w:snapToGrid w:val="0"/>
              <w:jc w:val="center"/>
              <w:rPr>
                <w:rFonts w:eastAsia="宋体"/>
                <w:szCs w:val="21"/>
              </w:rPr>
            </w:pPr>
            <w:r>
              <w:rPr>
                <w:rFonts w:eastAsia="宋体"/>
                <w:szCs w:val="21"/>
              </w:rPr>
              <w:t>P=5%</w:t>
            </w:r>
          </w:p>
        </w:tc>
        <w:tc>
          <w:tcPr>
            <w:tcW w:w="994" w:type="dxa"/>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vAlign w:val="center"/>
          </w:tcPr>
          <w:p>
            <w:pPr>
              <w:adjustRightInd w:val="0"/>
              <w:snapToGrid w:val="0"/>
              <w:jc w:val="center"/>
              <w:rPr>
                <w:rFonts w:eastAsia="宋体"/>
                <w:szCs w:val="21"/>
              </w:rPr>
            </w:pPr>
            <w:r>
              <w:rPr>
                <w:rFonts w:hAnsi="宋体" w:eastAsia="宋体"/>
                <w:szCs w:val="21"/>
              </w:rPr>
              <w:t>暴雨手册</w:t>
            </w:r>
          </w:p>
        </w:tc>
        <w:tc>
          <w:tcPr>
            <w:tcW w:w="1149" w:type="dxa"/>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vAlign w:val="center"/>
          </w:tcPr>
          <w:p>
            <w:pPr>
              <w:adjustRightInd w:val="0"/>
              <w:snapToGrid w:val="0"/>
              <w:jc w:val="center"/>
              <w:rPr>
                <w:rFonts w:eastAsia="宋体"/>
                <w:szCs w:val="21"/>
              </w:rPr>
            </w:pPr>
            <w:r>
              <w:rPr>
                <w:rFonts w:eastAsia="宋体"/>
                <w:szCs w:val="21"/>
              </w:rPr>
              <w:t>0.</w:t>
            </w:r>
            <w:r>
              <w:rPr>
                <w:rFonts w:hint="eastAsia"/>
                <w:szCs w:val="21"/>
              </w:rPr>
              <w:t>35</w:t>
            </w:r>
          </w:p>
        </w:tc>
        <w:tc>
          <w:tcPr>
            <w:tcW w:w="1021" w:type="dxa"/>
            <w:vAlign w:val="center"/>
          </w:tcPr>
          <w:p>
            <w:pPr>
              <w:adjustRightInd w:val="0"/>
              <w:snapToGrid w:val="0"/>
              <w:jc w:val="center"/>
              <w:rPr>
                <w:rFonts w:eastAsia="宋体"/>
                <w:szCs w:val="21"/>
              </w:rPr>
            </w:pPr>
            <w:r>
              <w:rPr>
                <w:rFonts w:eastAsia="宋体"/>
                <w:szCs w:val="21"/>
              </w:rPr>
              <w:t>3.5</w:t>
            </w:r>
          </w:p>
        </w:tc>
        <w:tc>
          <w:tcPr>
            <w:tcW w:w="996" w:type="dxa"/>
            <w:vAlign w:val="center"/>
          </w:tcPr>
          <w:p>
            <w:pPr>
              <w:adjustRightInd w:val="0"/>
              <w:snapToGrid w:val="0"/>
              <w:jc w:val="center"/>
              <w:rPr>
                <w:rFonts w:eastAsia="宋体"/>
                <w:szCs w:val="21"/>
              </w:rPr>
            </w:pPr>
            <w:r>
              <w:rPr>
                <w:rFonts w:eastAsia="宋体"/>
                <w:szCs w:val="21"/>
              </w:rPr>
              <w:t>2</w:t>
            </w:r>
            <w:r>
              <w:rPr>
                <w:rFonts w:hint="eastAsia"/>
                <w:szCs w:val="21"/>
              </w:rPr>
              <w:t>32.1</w:t>
            </w:r>
          </w:p>
        </w:tc>
        <w:tc>
          <w:tcPr>
            <w:tcW w:w="998" w:type="dxa"/>
            <w:vAlign w:val="center"/>
          </w:tcPr>
          <w:p>
            <w:pPr>
              <w:adjustRightInd w:val="0"/>
              <w:snapToGrid w:val="0"/>
              <w:jc w:val="center"/>
              <w:rPr>
                <w:rFonts w:eastAsia="宋体"/>
                <w:szCs w:val="21"/>
              </w:rPr>
            </w:pPr>
            <w:r>
              <w:rPr>
                <w:rFonts w:hint="eastAsia"/>
                <w:szCs w:val="21"/>
              </w:rPr>
              <w:t>211.2</w:t>
            </w:r>
          </w:p>
        </w:tc>
        <w:tc>
          <w:tcPr>
            <w:tcW w:w="996" w:type="dxa"/>
            <w:vAlign w:val="center"/>
          </w:tcPr>
          <w:p>
            <w:pPr>
              <w:adjustRightInd w:val="0"/>
              <w:snapToGrid w:val="0"/>
              <w:jc w:val="center"/>
              <w:rPr>
                <w:rFonts w:eastAsia="宋体"/>
                <w:szCs w:val="21"/>
              </w:rPr>
            </w:pPr>
            <w:r>
              <w:rPr>
                <w:rFonts w:eastAsia="宋体"/>
                <w:szCs w:val="21"/>
              </w:rPr>
              <w:t>1</w:t>
            </w:r>
            <w:r>
              <w:rPr>
                <w:rFonts w:hint="eastAsia"/>
                <w:szCs w:val="21"/>
              </w:rPr>
              <w:t>83.7</w:t>
            </w:r>
          </w:p>
        </w:tc>
        <w:tc>
          <w:tcPr>
            <w:tcW w:w="994" w:type="dxa"/>
            <w:vAlign w:val="center"/>
          </w:tcPr>
          <w:p>
            <w:pPr>
              <w:adjustRightInd w:val="0"/>
              <w:snapToGrid w:val="0"/>
              <w:jc w:val="center"/>
              <w:rPr>
                <w:rFonts w:eastAsia="宋体"/>
                <w:szCs w:val="21"/>
              </w:rPr>
            </w:pPr>
            <w:r>
              <w:rPr>
                <w:rFonts w:eastAsia="宋体"/>
                <w:szCs w:val="21"/>
              </w:rPr>
              <w:t>1</w:t>
            </w:r>
            <w:r>
              <w:rPr>
                <w:rFonts w:hint="eastAsia"/>
                <w:szCs w:val="21"/>
              </w:rPr>
              <w:t>61.7</w:t>
            </w:r>
          </w:p>
        </w:tc>
      </w:tr>
    </w:tbl>
    <w:p>
      <w:pPr>
        <w:pStyle w:val="5"/>
        <w:numPr>
          <w:ilvl w:val="2"/>
          <w:numId w:val="0"/>
        </w:numPr>
        <w:rPr>
          <w:b w:val="0"/>
          <w:bCs w:val="0"/>
        </w:rPr>
      </w:pPr>
      <w:bookmarkStart w:id="85" w:name="_Toc1664"/>
      <w:bookmarkStart w:id="86" w:name="_Toc15722"/>
      <w:bookmarkStart w:id="87" w:name="_Toc25200"/>
      <w:r>
        <w:rPr>
          <w:rFonts w:hint="eastAsia"/>
          <w:b w:val="0"/>
          <w:bCs w:val="0"/>
        </w:rPr>
        <w:t>4.3.1.4.2设计净雨计算</w:t>
      </w:r>
      <w:bookmarkEnd w:id="85"/>
      <w:bookmarkEnd w:id="86"/>
      <w:bookmarkEnd w:id="87"/>
    </w:p>
    <w:p>
      <w:pPr>
        <w:pStyle w:val="2"/>
        <w:spacing w:line="480" w:lineRule="auto"/>
        <w:ind w:firstLine="565" w:firstLineChars="202"/>
        <w:rPr>
          <w:sz w:val="28"/>
        </w:rPr>
      </w:pPr>
      <w:r>
        <w:rPr>
          <w:sz w:val="28"/>
          <w:lang w:val="zh-CN"/>
        </w:rPr>
        <w:t>根据《湖南省暴雨洪水查算手册》知本次项目区属暴雨一致区第</w:t>
      </w:r>
      <w:r>
        <w:rPr>
          <w:sz w:val="28"/>
        </w:rPr>
        <w:t>3</w:t>
      </w:r>
      <w:r>
        <w:rPr>
          <w:sz w:val="28"/>
          <w:lang w:val="zh-CN"/>
        </w:rPr>
        <w:t>区</w:t>
      </w:r>
      <w:r>
        <w:rPr>
          <w:rFonts w:hint="eastAsia"/>
          <w:sz w:val="28"/>
          <w:lang w:val="zh-CN"/>
        </w:rPr>
        <w:t>，</w:t>
      </w:r>
      <w:r>
        <w:rPr>
          <w:sz w:val="28"/>
          <w:lang w:val="zh-CN"/>
        </w:rPr>
        <w:t>依据集雨面积，查得其相应的点面关系系数，由此可得</w:t>
      </w:r>
      <w:r>
        <w:rPr>
          <w:sz w:val="28"/>
        </w:rPr>
        <w:t>10</w:t>
      </w:r>
      <w:r>
        <w:rPr>
          <w:sz w:val="28"/>
          <w:lang w:val="zh-CN"/>
        </w:rPr>
        <w:t>年一遇</w:t>
      </w:r>
      <w:r>
        <w:rPr>
          <w:sz w:val="28"/>
        </w:rPr>
        <w:t>24h</w:t>
      </w:r>
      <w:r>
        <w:rPr>
          <w:sz w:val="28"/>
          <w:lang w:val="zh-CN"/>
        </w:rPr>
        <w:t>面暴雨量。</w:t>
      </w:r>
    </w:p>
    <w:p>
      <w:pPr>
        <w:pStyle w:val="2"/>
        <w:spacing w:line="480" w:lineRule="auto"/>
        <w:ind w:firstLine="565" w:firstLineChars="202"/>
        <w:rPr>
          <w:sz w:val="28"/>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pStyle w:val="2"/>
        <w:spacing w:line="480" w:lineRule="auto"/>
        <w:ind w:firstLine="565" w:firstLineChars="202"/>
        <w:rPr>
          <w:sz w:val="28"/>
        </w:rPr>
      </w:pPr>
      <w:r>
        <w:rPr>
          <w:sz w:val="28"/>
        </w:rPr>
        <w:t>H</w:t>
      </w:r>
      <w:r>
        <w:rPr>
          <w:sz w:val="28"/>
          <w:vertAlign w:val="subscript"/>
        </w:rPr>
        <w:t>t</w:t>
      </w:r>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pPr>
        <w:pStyle w:val="2"/>
        <w:spacing w:line="480" w:lineRule="auto"/>
        <w:ind w:firstLine="565" w:firstLineChars="202"/>
        <w:rPr>
          <w:sz w:val="28"/>
          <w:lang w:val="zh-CN"/>
        </w:rPr>
      </w:pPr>
      <w:r>
        <w:rPr>
          <w:sz w:val="28"/>
          <w:lang w:val="zh-CN"/>
        </w:rPr>
        <w:t>最大6～24小时暴雨的时程分配公式为：</w:t>
      </w:r>
    </w:p>
    <w:p>
      <w:pPr>
        <w:pStyle w:val="2"/>
        <w:spacing w:line="480" w:lineRule="auto"/>
        <w:ind w:firstLine="565" w:firstLineChars="202"/>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pPr>
        <w:pStyle w:val="2"/>
        <w:spacing w:line="480" w:lineRule="auto"/>
        <w:ind w:firstLine="565" w:firstLineChars="202"/>
        <w:rPr>
          <w:sz w:val="28"/>
          <w:lang w:val="zh-CN"/>
        </w:rPr>
      </w:pPr>
      <w:r>
        <w:rPr>
          <w:sz w:val="28"/>
          <w:lang w:val="zh-CN"/>
        </w:rPr>
        <w:t>式中：H</w:t>
      </w:r>
      <w:r>
        <w:rPr>
          <w:sz w:val="28"/>
          <w:vertAlign w:val="subscript"/>
          <w:lang w:val="zh-CN"/>
        </w:rPr>
        <w:t>t</w:t>
      </w:r>
      <w:r>
        <w:rPr>
          <w:sz w:val="28"/>
          <w:lang w:val="zh-CN"/>
        </w:rPr>
        <w:t>─1～24小时内任一t时段的暴雨量；</w:t>
      </w:r>
    </w:p>
    <w:p>
      <w:pPr>
        <w:pStyle w:val="2"/>
        <w:spacing w:line="480" w:lineRule="auto"/>
        <w:ind w:firstLine="565" w:firstLineChars="202"/>
        <w:rPr>
          <w:sz w:val="28"/>
          <w:lang w:val="zh-CN"/>
        </w:rPr>
      </w:pPr>
      <w:r>
        <w:rPr>
          <w:sz w:val="28"/>
          <w:lang w:val="zh-CN"/>
        </w:rPr>
        <w:t>n</w:t>
      </w:r>
      <w:r>
        <w:rPr>
          <w:sz w:val="28"/>
          <w:vertAlign w:val="subscript"/>
          <w:lang w:val="zh-CN"/>
        </w:rPr>
        <w:t>2</w:t>
      </w:r>
      <w:r>
        <w:rPr>
          <w:sz w:val="28"/>
          <w:lang w:val="zh-CN"/>
        </w:rPr>
        <w:t>、n</w:t>
      </w:r>
      <w:r>
        <w:rPr>
          <w:sz w:val="28"/>
          <w:vertAlign w:val="subscript"/>
          <w:lang w:val="zh-CN"/>
        </w:rPr>
        <w:t>3</w:t>
      </w:r>
      <w:r>
        <w:rPr>
          <w:sz w:val="28"/>
          <w:lang w:val="zh-CN"/>
        </w:rPr>
        <w:t>─依地理位置、集雨面积及降雨量而变的参数；</w:t>
      </w:r>
    </w:p>
    <w:p>
      <w:pPr>
        <w:pStyle w:val="2"/>
        <w:spacing w:line="480" w:lineRule="auto"/>
        <w:ind w:firstLine="565" w:firstLineChars="202"/>
        <w:rPr>
          <w:sz w:val="28"/>
          <w:lang w:val="zh-CN"/>
        </w:rPr>
      </w:pPr>
      <w:r>
        <w:rPr>
          <w:sz w:val="28"/>
          <w:lang w:val="zh-CN"/>
        </w:rPr>
        <w:t>t─对应H</w:t>
      </w:r>
      <w:r>
        <w:rPr>
          <w:sz w:val="28"/>
          <w:vertAlign w:val="subscript"/>
          <w:lang w:val="zh-CN"/>
        </w:rPr>
        <w:t>t</w:t>
      </w:r>
      <w:r>
        <w:rPr>
          <w:sz w:val="28"/>
          <w:lang w:val="zh-CN"/>
        </w:rPr>
        <w:t>的时间。</w:t>
      </w:r>
    </w:p>
    <w:p>
      <w:pPr>
        <w:pStyle w:val="2"/>
        <w:spacing w:line="480" w:lineRule="auto"/>
        <w:ind w:firstLine="565" w:firstLineChars="202"/>
        <w:rPr>
          <w:sz w:val="28"/>
          <w:lang w:val="zh-CN"/>
        </w:rPr>
      </w:pPr>
      <w:r>
        <w:rPr>
          <w:sz w:val="28"/>
          <w:lang w:val="zh-CN"/>
        </w:rPr>
        <w:t>地面总径流深按下式计算：</w:t>
      </w:r>
    </w:p>
    <w:p>
      <w:pPr>
        <w:pStyle w:val="2"/>
        <w:spacing w:line="480" w:lineRule="auto"/>
        <w:ind w:firstLine="565" w:firstLineChars="202"/>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pPr>
        <w:pStyle w:val="2"/>
        <w:spacing w:line="480" w:lineRule="auto"/>
        <w:ind w:firstLine="565" w:firstLineChars="202"/>
        <w:rPr>
          <w:sz w:val="28"/>
          <w:lang w:val="zh-CN"/>
        </w:rPr>
      </w:pPr>
      <w:r>
        <w:rPr>
          <w:sz w:val="28"/>
          <w:lang w:val="zh-CN"/>
        </w:rPr>
        <w:t>式中：R</w:t>
      </w:r>
      <w:r>
        <w:rPr>
          <w:sz w:val="28"/>
          <w:vertAlign w:val="subscript"/>
          <w:lang w:val="zh-CN"/>
        </w:rPr>
        <w:t>上</w:t>
      </w:r>
      <w:r>
        <w:rPr>
          <w:sz w:val="28"/>
          <w:lang w:val="zh-CN"/>
        </w:rPr>
        <w:t>─地表径流深，mm；</w:t>
      </w:r>
      <w:r>
        <w:rPr>
          <w:rFonts w:hint="eastAsia"/>
          <w:sz w:val="28"/>
          <w:lang w:val="zh-CN"/>
        </w:rPr>
        <w:t xml:space="preserve">                                                          </w:t>
      </w:r>
    </w:p>
    <w:p>
      <w:pPr>
        <w:pStyle w:val="2"/>
        <w:spacing w:line="480" w:lineRule="auto"/>
        <w:ind w:firstLine="565" w:firstLineChars="202"/>
        <w:rPr>
          <w:sz w:val="28"/>
          <w:lang w:val="zh-CN"/>
        </w:rPr>
      </w:pPr>
      <w:r>
        <w:rPr>
          <w:sz w:val="28"/>
          <w:lang w:val="zh-CN"/>
        </w:rPr>
        <w:t xml:space="preserve">      ψ─地表径流占总径流的比值；</w:t>
      </w:r>
    </w:p>
    <w:p>
      <w:pPr>
        <w:pStyle w:val="2"/>
        <w:spacing w:line="480" w:lineRule="auto"/>
        <w:ind w:firstLine="565" w:firstLineChars="202"/>
        <w:rPr>
          <w:sz w:val="28"/>
          <w:lang w:val="zh-CN"/>
        </w:rPr>
      </w:pPr>
      <w:r>
        <w:rPr>
          <w:sz w:val="28"/>
          <w:lang w:val="zh-CN"/>
        </w:rPr>
        <w:t xml:space="preserve">      R</w:t>
      </w:r>
      <w:r>
        <w:rPr>
          <w:sz w:val="28"/>
          <w:vertAlign w:val="subscript"/>
          <w:lang w:val="zh-CN"/>
        </w:rPr>
        <w:t>总</w:t>
      </w:r>
      <w:r>
        <w:rPr>
          <w:sz w:val="28"/>
          <w:lang w:val="zh-CN"/>
        </w:rPr>
        <w:t>─总径流深，mm。</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88" w:name="_Toc21061"/>
      <w:bookmarkStart w:id="89" w:name="_Toc4793"/>
      <w:bookmarkStart w:id="90" w:name="_Toc2272"/>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.4.3设计净雨分配过程</w:t>
      </w:r>
      <w:bookmarkEnd w:id="88"/>
      <w:bookmarkEnd w:id="89"/>
      <w:bookmarkEnd w:id="90"/>
    </w:p>
    <w:p>
      <w:pPr>
        <w:pStyle w:val="2"/>
        <w:spacing w:line="480" w:lineRule="auto"/>
        <w:ind w:firstLine="565" w:firstLineChars="202"/>
        <w:rPr>
          <w:sz w:val="28"/>
          <w:lang w:val="zh-CN"/>
        </w:rPr>
      </w:pPr>
      <w:r>
        <w:rPr>
          <w:sz w:val="28"/>
          <w:lang w:val="zh-CN"/>
        </w:rPr>
        <w:t>根据项目区的地理位置查《湖南省暴雨洪水查算手册》</w:t>
      </w:r>
      <w:r>
        <w:rPr>
          <w:rFonts w:hint="eastAsia"/>
          <w:sz w:val="28"/>
        </w:rPr>
        <w:t>(2015版)</w:t>
      </w:r>
      <w:r>
        <w:rPr>
          <w:sz w:val="28"/>
          <w:lang w:val="zh-CN"/>
        </w:rPr>
        <w:t>，本工程属产流分区第</w:t>
      </w:r>
      <w:r>
        <w:rPr>
          <w:rFonts w:hint="eastAsia"/>
          <w:sz w:val="28"/>
          <w:lang w:val="zh-CN"/>
        </w:rPr>
        <w:t>Ⅱ</w:t>
      </w:r>
      <w:r>
        <w:rPr>
          <w:sz w:val="28"/>
          <w:lang w:val="zh-CN"/>
        </w:rPr>
        <w:t>区，降雨初损为I</w:t>
      </w:r>
      <w:r>
        <w:rPr>
          <w:sz w:val="28"/>
          <w:vertAlign w:val="subscript"/>
          <w:lang w:val="zh-CN"/>
        </w:rPr>
        <w:t>0</w:t>
      </w:r>
      <w:r>
        <w:rPr>
          <w:sz w:val="28"/>
          <w:lang w:val="zh-CN"/>
        </w:rPr>
        <w:t>=3</w:t>
      </w:r>
      <w:r>
        <w:rPr>
          <w:rFonts w:hint="eastAsia"/>
          <w:sz w:val="28"/>
        </w:rPr>
        <w:t>2</w:t>
      </w:r>
      <w:r>
        <w:rPr>
          <w:sz w:val="28"/>
          <w:lang w:val="zh-CN"/>
        </w:rPr>
        <w:t>mm。设计净雨分配过程采用第</w:t>
      </w:r>
      <w:r>
        <w:rPr>
          <w:rFonts w:hint="eastAsia"/>
          <w:sz w:val="28"/>
          <w:lang w:val="zh-CN"/>
        </w:rPr>
        <w:t>3</w:t>
      </w:r>
      <w:r>
        <w:rPr>
          <w:sz w:val="28"/>
          <w:lang w:val="zh-CN"/>
        </w:rPr>
        <w:t>区概化雨型时程分配表进行计算。</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1" w:name="_Toc17323"/>
      <w:bookmarkStart w:id="92" w:name="_Toc2673"/>
      <w:bookmarkStart w:id="93" w:name="_Toc163"/>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.4.4设计洪峰流量</w:t>
      </w:r>
      <w:bookmarkEnd w:id="91"/>
      <w:bookmarkEnd w:id="92"/>
      <w:bookmarkEnd w:id="93"/>
    </w:p>
    <w:p>
      <w:pPr>
        <w:snapToGrid w:val="0"/>
        <w:spacing w:before="156" w:beforeLines="50" w:line="360" w:lineRule="auto"/>
        <w:ind w:firstLine="560" w:firstLineChars="200"/>
        <w:rPr>
          <w:sz w:val="28"/>
        </w:rPr>
      </w:pPr>
      <w:r>
        <w:rPr>
          <w:rFonts w:hint="eastAsia"/>
          <w:sz w:val="28"/>
        </w:rPr>
        <w:t>本次设计采用推理公式法和综合无因次单位法两种方法分别推求。</w:t>
      </w:r>
    </w:p>
    <w:p>
      <w:pPr>
        <w:numPr>
          <w:ilvl w:val="0"/>
          <w:numId w:val="2"/>
        </w:numPr>
        <w:snapToGrid w:val="0"/>
        <w:spacing w:before="156" w:beforeLines="50" w:line="360" w:lineRule="auto"/>
        <w:ind w:firstLine="560" w:firstLineChars="200"/>
        <w:rPr>
          <w:sz w:val="28"/>
        </w:rPr>
      </w:pPr>
      <w:r>
        <w:rPr>
          <w:rFonts w:hint="eastAsia"/>
          <w:sz w:val="28"/>
        </w:rPr>
        <w:t>推理公式法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和汇流时间τ可由以下公式计算：</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=0.278×F×R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τ=0.278×L/(m×J</w:t>
      </w:r>
      <w:r>
        <w:rPr>
          <w:rFonts w:hint="eastAsia" w:asciiTheme="minorEastAsia" w:hAnsiTheme="minorEastAsia" w:cstheme="minorEastAsia"/>
          <w:sz w:val="28"/>
          <w:szCs w:val="28"/>
          <w:vertAlign w:val="superscript"/>
        </w:rPr>
        <w:t>1/3</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vertAlign w:val="superscript"/>
        </w:rPr>
        <w:t>1/4</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式中：Q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─地表洪峰流量(m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F─坝址以上流域面积(km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/t─地面径流强度；</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τ─汇流时间(h)；</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L─流域干流长度(km)；</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J─干流平均坡降；</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m─因流域形状而变的系数。</w:t>
      </w:r>
    </w:p>
    <w:p>
      <w:pPr>
        <w:adjustRightInd w:val="0"/>
        <w:snapToGrid w:val="0"/>
        <w:spacing w:before="156"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1）汇流参数m值计算</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根据《湖南省暴雨洪水查算手册》和工程所在位置位于丘陵区，以及流域地理参数θ取新综合线方程求得。</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2）Rt/t值计算</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根据最大24h概化雨型时程分配表中净雨过程，自最大时段净雨开始，向前后相邻时段连续累加，并除以相应的历时t，即可得Rt/t值。</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3）地表径流洪峰流量Qm上及汇流时间τ计算</w:t>
      </w:r>
    </w:p>
    <w:p>
      <w:pPr>
        <w:adjustRightInd w:val="0"/>
        <w:snapToGrid w:val="0"/>
        <w:spacing w:line="360" w:lineRule="auto"/>
        <w:ind w:firstLine="560" w:firstLineChars="200"/>
        <w:rPr>
          <w:rFonts w:asciiTheme="minorEastAsia" w:hAnsiTheme="minorEastAsia" w:cstheme="minorEastAsia"/>
          <w:bCs/>
          <w:sz w:val="28"/>
          <w:szCs w:val="28"/>
        </w:rPr>
      </w:pPr>
      <w:r>
        <w:rPr>
          <w:rFonts w:hint="eastAsia" w:asciiTheme="minorEastAsia" w:hAnsiTheme="minorEastAsia" w:cstheme="minorEastAsia"/>
          <w:sz w:val="28"/>
          <w:szCs w:val="28"/>
        </w:rPr>
        <w:t>点绘Rt/t~t关系曲线，根据R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/t~t关系曲线利用标准化计算程序采用试算法即可求出。</w:t>
      </w:r>
      <w:r>
        <w:rPr>
          <w:rFonts w:hint="eastAsia" w:asciiTheme="minorEastAsia" w:hAnsiTheme="minorEastAsia" w:cstheme="minorEastAsia"/>
          <w:bCs/>
          <w:sz w:val="28"/>
          <w:szCs w:val="28"/>
        </w:rPr>
        <w:t>宜阳河道县河段设计洪水计算参数及计算成果如表7。</w:t>
      </w:r>
    </w:p>
    <w:p>
      <w:pPr>
        <w:adjustRightInd w:val="0"/>
        <w:snapToGrid w:val="0"/>
        <w:spacing w:line="360" w:lineRule="auto"/>
        <w:ind w:firstLine="560" w:firstLineChars="200"/>
        <w:rPr>
          <w:rFonts w:asciiTheme="minorEastAsia" w:hAnsiTheme="minorEastAsia" w:cstheme="minorEastAsia"/>
          <w:bCs/>
          <w:sz w:val="28"/>
          <w:szCs w:val="28"/>
        </w:rPr>
      </w:pPr>
    </w:p>
    <w:p>
      <w:pPr>
        <w:adjustRightInd w:val="0"/>
        <w:snapToGrid w:val="0"/>
        <w:spacing w:line="360" w:lineRule="auto"/>
        <w:ind w:firstLine="560" w:firstLineChars="200"/>
        <w:rPr>
          <w:rFonts w:asciiTheme="minorEastAsia" w:hAnsiTheme="minorEastAsia" w:cstheme="minorEastAsia"/>
          <w:bCs/>
          <w:sz w:val="28"/>
          <w:szCs w:val="28"/>
        </w:rPr>
      </w:pPr>
    </w:p>
    <w:p>
      <w:pPr>
        <w:adjustRightInd w:val="0"/>
        <w:snapToGrid w:val="0"/>
        <w:spacing w:line="360" w:lineRule="auto"/>
        <w:ind w:firstLine="560" w:firstLineChars="200"/>
        <w:rPr>
          <w:rFonts w:asciiTheme="minorEastAsia" w:hAnsiTheme="minorEastAsia" w:cstheme="minorEastAsia"/>
          <w:bCs/>
          <w:sz w:val="28"/>
          <w:szCs w:val="28"/>
        </w:rPr>
      </w:pPr>
    </w:p>
    <w:p>
      <w:pPr>
        <w:adjustRightInd w:val="0"/>
        <w:snapToGrid w:val="0"/>
        <w:spacing w:line="360" w:lineRule="auto"/>
        <w:ind w:firstLine="560" w:firstLineChars="200"/>
        <w:rPr>
          <w:rFonts w:asciiTheme="minorEastAsia" w:hAnsiTheme="minorEastAsia" w:cstheme="minorEastAsia"/>
          <w:bCs/>
          <w:sz w:val="28"/>
          <w:szCs w:val="28"/>
        </w:rPr>
      </w:pPr>
    </w:p>
    <w:p>
      <w:pPr>
        <w:adjustRightInd w:val="0"/>
        <w:snapToGrid w:val="0"/>
        <w:spacing w:line="360" w:lineRule="auto"/>
        <w:ind w:firstLine="560" w:firstLineChars="200"/>
        <w:rPr>
          <w:rFonts w:asciiTheme="minorEastAsia" w:hAnsiTheme="minorEastAsia" w:cstheme="minorEastAsia"/>
          <w:bCs/>
          <w:sz w:val="28"/>
          <w:szCs w:val="28"/>
        </w:rPr>
      </w:pPr>
    </w:p>
    <w:p>
      <w:pPr>
        <w:adjustRightInd w:val="0"/>
        <w:snapToGrid w:val="0"/>
        <w:spacing w:line="360" w:lineRule="auto"/>
        <w:ind w:firstLine="560" w:firstLineChars="200"/>
        <w:rPr>
          <w:rFonts w:asciiTheme="minorEastAsia" w:hAnsiTheme="minorEastAsia" w:cstheme="minorEastAsia"/>
          <w:bCs/>
          <w:sz w:val="28"/>
          <w:szCs w:val="28"/>
        </w:rPr>
      </w:pPr>
    </w:p>
    <w:p>
      <w:pPr>
        <w:adjustRightInd w:val="0"/>
        <w:snapToGrid w:val="0"/>
        <w:spacing w:line="360" w:lineRule="auto"/>
        <w:ind w:firstLine="560" w:firstLineChars="200"/>
        <w:rPr>
          <w:rFonts w:asciiTheme="minorEastAsia" w:hAnsiTheme="minorEastAsia" w:cstheme="minorEastAsia"/>
          <w:bCs/>
          <w:sz w:val="28"/>
          <w:szCs w:val="28"/>
        </w:rPr>
      </w:pPr>
    </w:p>
    <w:p>
      <w:pPr>
        <w:adjustRightInd w:val="0"/>
        <w:snapToGrid w:val="0"/>
        <w:spacing w:line="360" w:lineRule="auto"/>
        <w:ind w:firstLine="560" w:firstLineChars="200"/>
        <w:rPr>
          <w:rFonts w:asciiTheme="minorEastAsia" w:hAnsiTheme="minorEastAsia" w:cstheme="minorEastAsia"/>
          <w:bCs/>
          <w:sz w:val="28"/>
          <w:szCs w:val="28"/>
        </w:rPr>
      </w:pPr>
    </w:p>
    <w:p>
      <w:pPr>
        <w:rPr>
          <w:rFonts w:ascii="宋体" w:hAnsi="宋体" w:eastAsia="宋体" w:cs="宋体"/>
          <w:b/>
          <w:bCs/>
          <w:szCs w:val="21"/>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7</w:t>
      </w:r>
      <w:r>
        <w:rPr>
          <w:rFonts w:hint="eastAsia" w:ascii="宋体" w:hAnsi="宋体" w:eastAsia="宋体" w:cs="宋体"/>
          <w:b/>
          <w:bCs/>
          <w:sz w:val="24"/>
          <w:szCs w:val="24"/>
          <w:lang w:val="zh-CN"/>
        </w:rPr>
        <w:t xml:space="preserve">       </w:t>
      </w:r>
      <w:r>
        <w:rPr>
          <w:rFonts w:hint="eastAsia" w:ascii="宋体" w:hAnsi="宋体" w:eastAsia="宋体" w:cs="宋体"/>
          <w:b/>
          <w:bCs/>
          <w:sz w:val="24"/>
          <w:szCs w:val="24"/>
        </w:rPr>
        <w:t xml:space="preserve">  </w:t>
      </w:r>
      <w:r>
        <w:rPr>
          <w:rFonts w:hint="eastAsia"/>
          <w:b/>
          <w:spacing w:val="-10"/>
          <w:szCs w:val="21"/>
        </w:rPr>
        <w:t>宜阳河道县河段</w:t>
      </w:r>
      <w:r>
        <w:rPr>
          <w:rFonts w:eastAsia="宋体"/>
          <w:b/>
          <w:spacing w:val="-10"/>
          <w:szCs w:val="21"/>
        </w:rPr>
        <w:t>设计洪水计算参数和计算成果表</w:t>
      </w:r>
      <w:r>
        <w:rPr>
          <w:rFonts w:hint="eastAsia"/>
          <w:b/>
          <w:spacing w:val="-10"/>
          <w:szCs w:val="21"/>
        </w:rPr>
        <w:t>（推理公式法）</w:t>
      </w:r>
    </w:p>
    <w:tbl>
      <w:tblPr>
        <w:tblStyle w:val="22"/>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28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840" w:type="dxa"/>
            <w:tcBorders>
              <w:tl2br w:val="nil"/>
              <w:tr2bl w:val="nil"/>
            </w:tcBorders>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2840" w:type="dxa"/>
            <w:tcBorders>
              <w:tl2br w:val="nil"/>
              <w:tr2bl w:val="nil"/>
            </w:tcBorders>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廊洞水库以下段</w:t>
            </w:r>
          </w:p>
        </w:tc>
        <w:tc>
          <w:tcPr>
            <w:tcW w:w="2840" w:type="dxa"/>
            <w:tcBorders>
              <w:tl2br w:val="nil"/>
              <w:tr2bl w:val="nil"/>
            </w:tcBorders>
            <w:vAlign w:val="center"/>
          </w:tcPr>
          <w:p>
            <w:pPr>
              <w:adjustRightInd w:val="0"/>
              <w:snapToGrid w:val="0"/>
              <w:spacing w:line="360" w:lineRule="exact"/>
              <w:jc w:val="center"/>
              <w:rPr>
                <w:szCs w:val="21"/>
              </w:rPr>
            </w:pPr>
            <w:r>
              <w:rPr>
                <w:rFonts w:hint="eastAsia"/>
                <w:szCs w:val="21"/>
              </w:rPr>
              <w:t>廊洞水库以上段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40" w:type="dxa"/>
            <w:tcBorders>
              <w:tl2br w:val="nil"/>
              <w:tr2bl w:val="nil"/>
            </w:tcBorders>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73.8</w:t>
            </w:r>
          </w:p>
        </w:tc>
        <w:tc>
          <w:tcPr>
            <w:tcW w:w="2840" w:type="dxa"/>
            <w:tcBorders>
              <w:tl2br w:val="nil"/>
              <w:tr2bl w:val="nil"/>
            </w:tcBorders>
            <w:vAlign w:val="center"/>
          </w:tcPr>
          <w:p>
            <w:pPr>
              <w:spacing w:line="360" w:lineRule="exact"/>
              <w:jc w:val="center"/>
              <w:rPr>
                <w:rFonts w:cs="Times New Roman"/>
              </w:rPr>
            </w:pPr>
            <w:r>
              <w:rPr>
                <w:rFonts w:hint="eastAsia" w:cs="Times New Roman"/>
              </w:rPr>
              <w:t>35.6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40" w:type="dxa"/>
            <w:tcBorders>
              <w:tl2br w:val="nil"/>
              <w:tr2bl w:val="nil"/>
            </w:tcBorders>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29.0</w:t>
            </w:r>
          </w:p>
        </w:tc>
        <w:tc>
          <w:tcPr>
            <w:tcW w:w="2840" w:type="dxa"/>
            <w:tcBorders>
              <w:tl2br w:val="nil"/>
              <w:tr2bl w:val="nil"/>
            </w:tcBorders>
            <w:vAlign w:val="center"/>
          </w:tcPr>
          <w:p>
            <w:pPr>
              <w:spacing w:line="360" w:lineRule="exact"/>
              <w:jc w:val="center"/>
              <w:rPr>
                <w:rFonts w:cs="Times New Roman"/>
              </w:rPr>
            </w:pPr>
            <w:r>
              <w:rPr>
                <w:rFonts w:hint="eastAsia" w:cs="Times New Roman"/>
              </w:rPr>
              <w:t>17.78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40" w:type="dxa"/>
            <w:tcBorders>
              <w:tl2br w:val="nil"/>
              <w:tr2bl w:val="nil"/>
            </w:tcBorders>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9.94</w:t>
            </w:r>
          </w:p>
        </w:tc>
        <w:tc>
          <w:tcPr>
            <w:tcW w:w="2840" w:type="dxa"/>
            <w:tcBorders>
              <w:tl2br w:val="nil"/>
              <w:tr2bl w:val="nil"/>
            </w:tcBorders>
            <w:vAlign w:val="center"/>
          </w:tcPr>
          <w:p>
            <w:pPr>
              <w:spacing w:line="360" w:lineRule="exact"/>
              <w:jc w:val="center"/>
              <w:rPr>
                <w:rFonts w:cs="Times New Roman"/>
              </w:rPr>
            </w:pPr>
            <w:r>
              <w:rPr>
                <w:rFonts w:hint="eastAsia" w:cs="Times New Roman"/>
              </w:rPr>
              <w:t>20.91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1.47</w:t>
            </w:r>
          </w:p>
        </w:tc>
        <w:tc>
          <w:tcPr>
            <w:tcW w:w="2840" w:type="dxa"/>
            <w:tcBorders>
              <w:tl2br w:val="nil"/>
              <w:tr2bl w:val="nil"/>
            </w:tcBorders>
            <w:vAlign w:val="center"/>
          </w:tcPr>
          <w:p>
            <w:pPr>
              <w:spacing w:line="360" w:lineRule="exact"/>
              <w:jc w:val="center"/>
              <w:rPr>
                <w:rFonts w:cs="Times New Roman"/>
              </w:rPr>
            </w:pPr>
            <w:r>
              <w:rPr>
                <w:rFonts w:hint="eastAsia" w:cs="Times New Roma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161.7</w:t>
            </w:r>
          </w:p>
        </w:tc>
        <w:tc>
          <w:tcPr>
            <w:tcW w:w="2840" w:type="dxa"/>
            <w:tcBorders>
              <w:tl2br w:val="nil"/>
              <w:tr2bl w:val="nil"/>
            </w:tcBorders>
            <w:vAlign w:val="center"/>
          </w:tcPr>
          <w:p>
            <w:pPr>
              <w:spacing w:line="360" w:lineRule="exact"/>
              <w:jc w:val="center"/>
              <w:rPr>
                <w:rFonts w:cs="Times New Roman"/>
              </w:rPr>
            </w:pPr>
            <w:r>
              <w:rPr>
                <w:rFonts w:hint="eastAsia" w:cs="Times New Roman"/>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151.7</w:t>
            </w:r>
          </w:p>
        </w:tc>
        <w:tc>
          <w:tcPr>
            <w:tcW w:w="2840" w:type="dxa"/>
            <w:tcBorders>
              <w:tl2br w:val="nil"/>
              <w:tr2bl w:val="nil"/>
            </w:tcBorders>
            <w:vAlign w:val="center"/>
          </w:tcPr>
          <w:p>
            <w:pPr>
              <w:spacing w:line="360" w:lineRule="exact"/>
              <w:jc w:val="center"/>
              <w:rPr>
                <w:rFonts w:cs="Times New Roman"/>
              </w:rPr>
            </w:pPr>
            <w:r>
              <w:rPr>
                <w:rFonts w:hint="eastAsia" w:cs="Times New Roman"/>
              </w:rPr>
              <w:t>157.6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0.640</w:t>
            </w:r>
          </w:p>
        </w:tc>
        <w:tc>
          <w:tcPr>
            <w:tcW w:w="2840" w:type="dxa"/>
            <w:tcBorders>
              <w:tl2br w:val="nil"/>
              <w:tr2bl w:val="nil"/>
            </w:tcBorders>
            <w:vAlign w:val="center"/>
          </w:tcPr>
          <w:p>
            <w:pPr>
              <w:spacing w:line="360" w:lineRule="exact"/>
              <w:jc w:val="center"/>
              <w:rPr>
                <w:rFonts w:cs="Times New Roman"/>
              </w:rPr>
            </w:pPr>
            <w:r>
              <w:rPr>
                <w:rFonts w:hint="eastAsia" w:cs="Times New Roman"/>
              </w:rPr>
              <w:t>0.651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0.766</w:t>
            </w:r>
          </w:p>
        </w:tc>
        <w:tc>
          <w:tcPr>
            <w:tcW w:w="2840" w:type="dxa"/>
            <w:tcBorders>
              <w:tl2br w:val="nil"/>
              <w:tr2bl w:val="nil"/>
            </w:tcBorders>
            <w:vAlign w:val="center"/>
          </w:tcPr>
          <w:p>
            <w:pPr>
              <w:spacing w:line="360" w:lineRule="exact"/>
              <w:jc w:val="center"/>
              <w:rPr>
                <w:rFonts w:cs="Times New Roman"/>
              </w:rPr>
            </w:pPr>
            <w:r>
              <w:rPr>
                <w:rFonts w:hint="eastAsia" w:cs="Times New Roman"/>
              </w:rPr>
              <w:t>0.770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57.6</w:t>
            </w:r>
          </w:p>
        </w:tc>
        <w:tc>
          <w:tcPr>
            <w:tcW w:w="2840" w:type="dxa"/>
            <w:tcBorders>
              <w:tl2br w:val="nil"/>
              <w:tr2bl w:val="nil"/>
            </w:tcBorders>
            <w:vAlign w:val="center"/>
          </w:tcPr>
          <w:p>
            <w:pPr>
              <w:spacing w:line="360" w:lineRule="exact"/>
              <w:jc w:val="center"/>
              <w:rPr>
                <w:rFonts w:cs="Times New Roman"/>
              </w:rPr>
            </w:pPr>
            <w:r>
              <w:rPr>
                <w:rFonts w:hint="eastAsia" w:cs="Times New Roman"/>
              </w:rPr>
              <w:t>61.2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85.5</w:t>
            </w:r>
          </w:p>
        </w:tc>
        <w:tc>
          <w:tcPr>
            <w:tcW w:w="2840" w:type="dxa"/>
            <w:tcBorders>
              <w:tl2br w:val="nil"/>
              <w:tr2bl w:val="nil"/>
            </w:tcBorders>
            <w:vAlign w:val="center"/>
          </w:tcPr>
          <w:p>
            <w:pPr>
              <w:spacing w:line="360" w:lineRule="exact"/>
              <w:jc w:val="center"/>
              <w:rPr>
                <w:rFonts w:cs="Times New Roman"/>
              </w:rPr>
            </w:pPr>
            <w:r>
              <w:rPr>
                <w:rFonts w:hint="eastAsia" w:cs="Times New Roman"/>
              </w:rPr>
              <w:t>89.9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109.7</w:t>
            </w:r>
          </w:p>
        </w:tc>
        <w:tc>
          <w:tcPr>
            <w:tcW w:w="2840" w:type="dxa"/>
            <w:tcBorders>
              <w:tl2br w:val="nil"/>
              <w:tr2bl w:val="nil"/>
            </w:tcBorders>
            <w:vAlign w:val="center"/>
          </w:tcPr>
          <w:p>
            <w:pPr>
              <w:spacing w:line="360" w:lineRule="exact"/>
              <w:jc w:val="center"/>
              <w:rPr>
                <w:rFonts w:cs="Times New Roman"/>
              </w:rPr>
            </w:pPr>
            <w:r>
              <w:rPr>
                <w:rFonts w:hint="eastAsia" w:cs="Times New Roman"/>
              </w:rPr>
              <w:t>114.5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129.0</w:t>
            </w:r>
          </w:p>
        </w:tc>
        <w:tc>
          <w:tcPr>
            <w:tcW w:w="2840" w:type="dxa"/>
            <w:tcBorders>
              <w:tl2br w:val="nil"/>
              <w:tr2bl w:val="nil"/>
            </w:tcBorders>
            <w:vAlign w:val="center"/>
          </w:tcPr>
          <w:p>
            <w:pPr>
              <w:spacing w:line="360" w:lineRule="exact"/>
              <w:jc w:val="center"/>
              <w:rPr>
                <w:rFonts w:cs="Times New Roman"/>
              </w:rPr>
            </w:pPr>
            <w:r>
              <w:rPr>
                <w:rFonts w:hint="eastAsia" w:cs="Times New Roman"/>
              </w:rPr>
              <w:t>134.4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151.7</w:t>
            </w:r>
          </w:p>
        </w:tc>
        <w:tc>
          <w:tcPr>
            <w:tcW w:w="2840" w:type="dxa"/>
            <w:tcBorders>
              <w:tl2br w:val="nil"/>
              <w:tr2bl w:val="nil"/>
            </w:tcBorders>
            <w:vAlign w:val="center"/>
          </w:tcPr>
          <w:p>
            <w:pPr>
              <w:spacing w:line="360" w:lineRule="exact"/>
              <w:jc w:val="center"/>
              <w:rPr>
                <w:rFonts w:cs="Times New Roman"/>
              </w:rPr>
            </w:pPr>
            <w:r>
              <w:rPr>
                <w:rFonts w:hint="eastAsia" w:cs="Times New Roman"/>
              </w:rPr>
              <w:t>157.6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119.7</w:t>
            </w:r>
          </w:p>
        </w:tc>
        <w:tc>
          <w:tcPr>
            <w:tcW w:w="2840" w:type="dxa"/>
            <w:tcBorders>
              <w:tl2br w:val="nil"/>
              <w:tr2bl w:val="nil"/>
            </w:tcBorders>
            <w:vAlign w:val="center"/>
          </w:tcPr>
          <w:p>
            <w:pPr>
              <w:spacing w:line="360" w:lineRule="exact"/>
              <w:jc w:val="center"/>
              <w:rPr>
                <w:rFonts w:cs="Times New Roman"/>
              </w:rPr>
            </w:pPr>
            <w:r>
              <w:rPr>
                <w:rFonts w:hint="eastAsia" w:cs="Times New Roman"/>
              </w:rPr>
              <w:t>125.6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0.70</w:t>
            </w:r>
          </w:p>
        </w:tc>
        <w:tc>
          <w:tcPr>
            <w:tcW w:w="2840" w:type="dxa"/>
            <w:tcBorders>
              <w:tl2br w:val="nil"/>
              <w:tr2bl w:val="nil"/>
            </w:tcBorders>
            <w:vAlign w:val="center"/>
          </w:tcPr>
          <w:p>
            <w:pPr>
              <w:spacing w:line="360" w:lineRule="exact"/>
              <w:jc w:val="center"/>
              <w:rPr>
                <w:rFonts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83.8</w:t>
            </w:r>
          </w:p>
        </w:tc>
        <w:tc>
          <w:tcPr>
            <w:tcW w:w="2840" w:type="dxa"/>
            <w:tcBorders>
              <w:tl2br w:val="nil"/>
              <w:tr2bl w:val="nil"/>
            </w:tcBorders>
            <w:vAlign w:val="center"/>
          </w:tcPr>
          <w:p>
            <w:pPr>
              <w:spacing w:line="360" w:lineRule="exact"/>
              <w:jc w:val="center"/>
              <w:rPr>
                <w:rFonts w:cs="Times New Roman"/>
              </w:rPr>
            </w:pPr>
            <w:r>
              <w:rPr>
                <w:rFonts w:hint="eastAsia" w:cs="Times New Roman"/>
              </w:rPr>
              <w:t>87.9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2840" w:type="dxa"/>
            <w:tcBorders>
              <w:tl2br w:val="nil"/>
              <w:tr2bl w:val="nil"/>
            </w:tcBorders>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Qmp（m3/s）</w:t>
            </w:r>
          </w:p>
        </w:tc>
        <w:tc>
          <w:tcPr>
            <w:tcW w:w="2840" w:type="dxa"/>
            <w:tcBorders>
              <w:tl2br w:val="nil"/>
              <w:tr2bl w:val="nil"/>
            </w:tcBorders>
            <w:vAlign w:val="center"/>
          </w:tcPr>
          <w:p>
            <w:pPr>
              <w:spacing w:line="360" w:lineRule="exact"/>
              <w:jc w:val="center"/>
              <w:rPr>
                <w:rFonts w:ascii="Times New Roman" w:hAnsi="Times New Roman" w:eastAsia="宋体" w:cs="Times New Roman"/>
              </w:rPr>
            </w:pPr>
            <w:r>
              <w:rPr>
                <w:rFonts w:hint="eastAsia" w:cs="Times New Roman"/>
              </w:rPr>
              <w:t>195.6</w:t>
            </w:r>
          </w:p>
        </w:tc>
        <w:tc>
          <w:tcPr>
            <w:tcW w:w="2840" w:type="dxa"/>
            <w:tcBorders>
              <w:tl2br w:val="nil"/>
              <w:tr2bl w:val="nil"/>
            </w:tcBorders>
            <w:vAlign w:val="center"/>
          </w:tcPr>
          <w:p>
            <w:pPr>
              <w:spacing w:line="360" w:lineRule="exact"/>
              <w:jc w:val="center"/>
              <w:rPr>
                <w:rFonts w:cs="Times New Roman"/>
              </w:rPr>
            </w:pPr>
            <w:r>
              <w:rPr>
                <w:rFonts w:hint="eastAsia" w:cs="Times New Roman"/>
              </w:rPr>
              <w:t>102.3</w:t>
            </w:r>
          </w:p>
        </w:tc>
      </w:tr>
    </w:tbl>
    <w:p>
      <w:pPr>
        <w:adjustRightInd w:val="0"/>
        <w:snapToGrid w:val="0"/>
        <w:spacing w:before="156"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（二）经验单位线法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根据本流域地理特征和选用原则，先选定无因次单位线，时段单位线纵高q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可由以下公式计算：</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=2.778×F×ρ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w:t>
      </w:r>
    </w:p>
    <w:p>
      <w:pPr>
        <w:autoSpaceDE w:val="0"/>
        <w:autoSpaceDN w:val="0"/>
        <w:adjustRightIn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式中</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时段单位线纵高</w:t>
      </w:r>
      <w:r>
        <w:rPr>
          <w:rFonts w:hint="eastAsia" w:asciiTheme="minorEastAsia" w:hAnsiTheme="minorEastAsia" w:cstheme="minorEastAsia"/>
          <w:sz w:val="28"/>
          <w:szCs w:val="28"/>
        </w:rPr>
        <w:t>(m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F─</w:t>
      </w:r>
      <w:r>
        <w:rPr>
          <w:rFonts w:hint="eastAsia" w:asciiTheme="minorEastAsia" w:hAnsiTheme="minorEastAsia" w:cstheme="minorEastAsia"/>
          <w:sz w:val="28"/>
          <w:szCs w:val="28"/>
          <w:lang w:val="zh-CN"/>
        </w:rPr>
        <w:t>控制流域面积</w:t>
      </w:r>
      <w:r>
        <w:rPr>
          <w:rFonts w:hint="eastAsia" w:asciiTheme="minorEastAsia" w:hAnsiTheme="minorEastAsia" w:cstheme="minorEastAsia"/>
          <w:sz w:val="28"/>
          <w:szCs w:val="28"/>
        </w:rPr>
        <w:t>(km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utoSpaceDE w:val="0"/>
        <w:autoSpaceDN w:val="0"/>
        <w:adjustRightInd w:val="0"/>
        <w:spacing w:before="156" w:beforeLines="50" w:line="360" w:lineRule="auto"/>
        <w:ind w:firstLine="1120" w:firstLineChars="400"/>
        <w:rPr>
          <w:rFonts w:asciiTheme="minorEastAsia" w:hAnsiTheme="minorEastAsia" w:cstheme="minorEastAsia"/>
          <w:sz w:val="28"/>
          <w:szCs w:val="28"/>
          <w:lang w:val="zh-CN"/>
        </w:rPr>
      </w:pPr>
      <w:r>
        <w:rPr>
          <w:rFonts w:hint="eastAsia" w:asciiTheme="minorEastAsia" w:hAnsiTheme="minorEastAsia" w:cstheme="minorEastAsia"/>
          <w:sz w:val="28"/>
          <w:szCs w:val="28"/>
        </w:rPr>
        <w:t>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lang w:val="zh-CN"/>
        </w:rPr>
        <w:t>─无因次单位线（10mm单位线）；</w:t>
      </w:r>
    </w:p>
    <w:p>
      <w:pPr>
        <w:adjustRightInd w:val="0"/>
        <w:snapToGrid w:val="0"/>
        <w:spacing w:before="156" w:beforeLines="50" w:line="360" w:lineRule="auto"/>
        <w:ind w:firstLine="1120" w:firstLineChars="400"/>
        <w:rPr>
          <w:rFonts w:asciiTheme="minorEastAsia" w:hAnsiTheme="minorEastAsia" w:cstheme="minorEastAsia"/>
          <w:sz w:val="28"/>
          <w:szCs w:val="28"/>
        </w:rPr>
      </w:pPr>
      <w:r>
        <w:rPr>
          <w:rFonts w:hint="eastAsia" w:asciiTheme="minorEastAsia" w:hAnsiTheme="minorEastAsia" w:cstheme="minorEastAsia"/>
          <w:sz w:val="28"/>
          <w:szCs w:val="28"/>
        </w:rPr>
        <w:t>t</w:t>
      </w:r>
      <w:r>
        <w:rPr>
          <w:rFonts w:hint="eastAsia" w:asciiTheme="minorEastAsia" w:hAnsiTheme="minorEastAsia" w:cstheme="minorEastAsia"/>
          <w:sz w:val="28"/>
          <w:szCs w:val="28"/>
          <w:lang w:val="zh-CN"/>
        </w:rPr>
        <w:t>─单位时段（1小时）；</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以各时段净雨分别乘以时段为1小时的10mm单位线的时段单位线纵高q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，即得相应各时段净雨的径流过程。</w:t>
      </w:r>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已知地下径流深R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总</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，由Q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～t过程线知地面径流过程底宽为T小时，以第T小时处为地下径流峰顶位置，按三角形关系求地下径流峰值Q</w:t>
      </w:r>
      <w:r>
        <w:rPr>
          <w:rFonts w:hint="eastAsia" w:asciiTheme="minorEastAsia" w:hAnsiTheme="minorEastAsia" w:cstheme="minorEastAsia"/>
          <w:sz w:val="28"/>
          <w:szCs w:val="28"/>
          <w:vertAlign w:val="subscript"/>
        </w:rPr>
        <w:t>m地</w:t>
      </w:r>
      <w:r>
        <w:rPr>
          <w:rFonts w:hint="eastAsia" w:asciiTheme="minorEastAsia" w:hAnsiTheme="minorEastAsia" w:cstheme="minorEastAsia"/>
          <w:sz w:val="28"/>
          <w:szCs w:val="28"/>
        </w:rPr>
        <w:t>=F×R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/（3.6×△t）/T。</w:t>
      </w:r>
      <w:r>
        <w:rPr>
          <w:rFonts w:hint="eastAsia" w:asciiTheme="minorEastAsia" w:hAnsiTheme="minorEastAsia" w:cstheme="minorEastAsia"/>
          <w:spacing w:val="4"/>
          <w:sz w:val="28"/>
          <w:szCs w:val="28"/>
        </w:rPr>
        <w:t>自Q</w:t>
      </w:r>
      <w:r>
        <w:rPr>
          <w:rFonts w:hint="eastAsia" w:asciiTheme="minorEastAsia" w:hAnsiTheme="minorEastAsia" w:cstheme="minorEastAsia"/>
          <w:spacing w:val="4"/>
          <w:sz w:val="28"/>
          <w:szCs w:val="28"/>
          <w:vertAlign w:val="subscript"/>
        </w:rPr>
        <w:t>m地</w:t>
      </w:r>
      <w:r>
        <w:rPr>
          <w:rFonts w:hint="eastAsia" w:asciiTheme="minorEastAsia" w:hAnsiTheme="minorEastAsia" w:cstheme="minorEastAsia"/>
          <w:spacing w:val="4"/>
          <w:sz w:val="28"/>
          <w:szCs w:val="28"/>
        </w:rPr>
        <w:t>开始每增减一个时段，其流量即减少一个△Q</w:t>
      </w:r>
      <w:r>
        <w:rPr>
          <w:rFonts w:hint="eastAsia" w:asciiTheme="minorEastAsia" w:hAnsiTheme="minorEastAsia" w:cstheme="minorEastAsia"/>
          <w:spacing w:val="4"/>
          <w:sz w:val="28"/>
          <w:szCs w:val="28"/>
          <w:vertAlign w:val="subscript"/>
        </w:rPr>
        <w:t>地</w:t>
      </w:r>
      <w:r>
        <w:rPr>
          <w:rFonts w:hint="eastAsia" w:asciiTheme="minorEastAsia" w:hAnsiTheme="minorEastAsia" w:cstheme="minorEastAsia"/>
          <w:spacing w:val="10"/>
          <w:sz w:val="28"/>
          <w:szCs w:val="28"/>
        </w:rPr>
        <w:t>=Q</w:t>
      </w:r>
      <w:r>
        <w:rPr>
          <w:rFonts w:hint="eastAsia" w:asciiTheme="minorEastAsia" w:hAnsiTheme="minorEastAsia" w:cstheme="minorEastAsia"/>
          <w:spacing w:val="10"/>
          <w:sz w:val="28"/>
          <w:szCs w:val="28"/>
          <w:vertAlign w:val="subscript"/>
        </w:rPr>
        <w:t>m地</w:t>
      </w:r>
      <w:r>
        <w:rPr>
          <w:rFonts w:hint="eastAsia" w:asciiTheme="minorEastAsia" w:hAnsiTheme="minorEastAsia" w:cstheme="minorEastAsia"/>
          <w:spacing w:val="10"/>
          <w:sz w:val="28"/>
          <w:szCs w:val="28"/>
        </w:rPr>
        <w:t>/T,</w:t>
      </w:r>
      <w:r>
        <w:rPr>
          <w:rFonts w:hint="eastAsia" w:asciiTheme="minorEastAsia" w:hAnsiTheme="minorEastAsia" w:cstheme="minorEastAsia"/>
          <w:sz w:val="28"/>
          <w:szCs w:val="28"/>
        </w:rPr>
        <w:t>由此可得地下径流过程Q</w:t>
      </w:r>
      <w:r>
        <w:rPr>
          <w:rFonts w:hint="eastAsia" w:asciiTheme="minorEastAsia" w:hAnsiTheme="minorEastAsia" w:cstheme="minorEastAsia"/>
          <w:sz w:val="28"/>
          <w:szCs w:val="28"/>
          <w:vertAlign w:val="subscript"/>
        </w:rPr>
        <w:t>o</w:t>
      </w:r>
      <w:r>
        <w:rPr>
          <w:rFonts w:hint="eastAsia" w:asciiTheme="minorEastAsia" w:hAnsiTheme="minorEastAsia" w:cstheme="minorEastAsia"/>
          <w:sz w:val="28"/>
          <w:szCs w:val="28"/>
        </w:rPr>
        <w:t>～t线。</w:t>
      </w:r>
    </w:p>
    <w:p>
      <w:pPr>
        <w:adjustRightInd w:val="0"/>
        <w:snapToGrid w:val="0"/>
        <w:spacing w:before="156" w:beforeLines="50" w:line="360" w:lineRule="auto"/>
        <w:ind w:firstLine="560" w:firstLineChars="200"/>
        <w:rPr>
          <w:rFonts w:hAnsi="宋体" w:eastAsia="宋体"/>
          <w:b/>
          <w:spacing w:val="-10"/>
          <w:szCs w:val="21"/>
        </w:rPr>
      </w:pPr>
      <w:r>
        <w:rPr>
          <w:rFonts w:hint="eastAsia" w:asciiTheme="minorEastAsia" w:hAnsiTheme="minorEastAsia" w:cstheme="minorEastAsia"/>
          <w:sz w:val="28"/>
          <w:szCs w:val="28"/>
          <w:lang w:val="zh-CN"/>
        </w:rPr>
        <w:t>根据以上计算公式，利用标准化计算程序计算项目区各区段设计洪水计算参数及计算成果如表</w:t>
      </w:r>
      <w:r>
        <w:rPr>
          <w:rFonts w:hint="eastAsia" w:asciiTheme="minorEastAsia" w:hAnsiTheme="minorEastAsia" w:cstheme="minorEastAsia"/>
          <w:sz w:val="28"/>
          <w:szCs w:val="28"/>
        </w:rPr>
        <w:t>8</w:t>
      </w:r>
      <w:r>
        <w:rPr>
          <w:rFonts w:hint="eastAsia"/>
          <w:sz w:val="24"/>
        </w:rPr>
        <w:t>。</w:t>
      </w: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8</w:t>
      </w:r>
      <w:r>
        <w:rPr>
          <w:rFonts w:eastAsia="宋体"/>
          <w:b/>
          <w:spacing w:val="-10"/>
          <w:sz w:val="24"/>
        </w:rPr>
        <w:t xml:space="preserve">   </w:t>
      </w:r>
      <w:r>
        <w:rPr>
          <w:rFonts w:hint="eastAsia" w:eastAsia="宋体"/>
          <w:b/>
          <w:spacing w:val="-10"/>
          <w:sz w:val="24"/>
        </w:rPr>
        <w:t xml:space="preserve">      </w:t>
      </w:r>
      <w:r>
        <w:rPr>
          <w:rFonts w:hint="eastAsia"/>
          <w:b/>
          <w:spacing w:val="-10"/>
          <w:sz w:val="24"/>
        </w:rPr>
        <w:t>宜阳河道县河段</w:t>
      </w:r>
      <w:r>
        <w:rPr>
          <w:rFonts w:eastAsia="宋体"/>
          <w:b/>
          <w:spacing w:val="-10"/>
          <w:sz w:val="24"/>
        </w:rPr>
        <w:t>设计洪水计算参数和计算成果表</w:t>
      </w:r>
      <w:r>
        <w:rPr>
          <w:rFonts w:hint="eastAsia"/>
          <w:b/>
          <w:spacing w:val="-10"/>
          <w:sz w:val="24"/>
        </w:rPr>
        <w:t>（经验单位线法）</w:t>
      </w:r>
    </w:p>
    <w:tbl>
      <w:tblPr>
        <w:tblStyle w:val="23"/>
        <w:tblW w:w="851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2957"/>
        <w:gridCol w:w="29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hAnsi="宋体" w:eastAsia="宋体"/>
                <w:szCs w:val="21"/>
              </w:rPr>
              <w:t>参数</w:t>
            </w:r>
          </w:p>
        </w:tc>
        <w:tc>
          <w:tcPr>
            <w:tcW w:w="2957" w:type="dxa"/>
            <w:vAlign w:val="center"/>
          </w:tcPr>
          <w:p>
            <w:pPr>
              <w:adjustRightInd w:val="0"/>
              <w:snapToGrid w:val="0"/>
              <w:jc w:val="center"/>
              <w:rPr>
                <w:rFonts w:eastAsia="宋体"/>
                <w:szCs w:val="21"/>
              </w:rPr>
            </w:pPr>
            <w:r>
              <w:rPr>
                <w:rFonts w:hint="eastAsia"/>
                <w:szCs w:val="21"/>
              </w:rPr>
              <w:t>廊洞水库以下段</w:t>
            </w:r>
          </w:p>
        </w:tc>
        <w:tc>
          <w:tcPr>
            <w:tcW w:w="2957" w:type="dxa"/>
            <w:vAlign w:val="center"/>
          </w:tcPr>
          <w:p>
            <w:pPr>
              <w:adjustRightInd w:val="0"/>
              <w:snapToGrid w:val="0"/>
              <w:jc w:val="center"/>
              <w:rPr>
                <w:szCs w:val="21"/>
              </w:rPr>
            </w:pPr>
            <w:r>
              <w:rPr>
                <w:rFonts w:hint="eastAsia"/>
                <w:szCs w:val="21"/>
              </w:rPr>
              <w:t>廊洞水库以上段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73.8</w:t>
            </w:r>
          </w:p>
        </w:tc>
        <w:tc>
          <w:tcPr>
            <w:tcW w:w="2957" w:type="dxa"/>
            <w:vAlign w:val="center"/>
          </w:tcPr>
          <w:p>
            <w:pPr>
              <w:adjustRightInd w:val="0"/>
              <w:snapToGrid w:val="0"/>
              <w:spacing w:line="240" w:lineRule="exact"/>
              <w:jc w:val="center"/>
              <w:rPr>
                <w:rFonts w:hAnsi="宋体"/>
                <w:szCs w:val="21"/>
              </w:rPr>
            </w:pPr>
            <w:r>
              <w:rPr>
                <w:rFonts w:hint="eastAsia" w:hAnsi="宋体"/>
                <w:szCs w:val="21"/>
              </w:rPr>
              <w:t>35.6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10</w:t>
            </w:r>
          </w:p>
        </w:tc>
        <w:tc>
          <w:tcPr>
            <w:tcW w:w="2957" w:type="dxa"/>
            <w:vAlign w:val="center"/>
          </w:tcPr>
          <w:p>
            <w:pPr>
              <w:adjustRightInd w:val="0"/>
              <w:snapToGrid w:val="0"/>
              <w:spacing w:line="240" w:lineRule="exact"/>
              <w:jc w:val="center"/>
              <w:rPr>
                <w:rFonts w:hAnsi="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trPr>
        <w:tc>
          <w:tcPr>
            <w:tcW w:w="2605" w:type="dxa"/>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161.7</w:t>
            </w:r>
          </w:p>
        </w:tc>
        <w:tc>
          <w:tcPr>
            <w:tcW w:w="2957" w:type="dxa"/>
            <w:vAlign w:val="center"/>
          </w:tcPr>
          <w:p>
            <w:pPr>
              <w:adjustRightInd w:val="0"/>
              <w:snapToGrid w:val="0"/>
              <w:spacing w:line="240" w:lineRule="exact"/>
              <w:jc w:val="center"/>
              <w:rPr>
                <w:rFonts w:hAnsi="宋体"/>
                <w:szCs w:val="21"/>
              </w:rPr>
            </w:pPr>
            <w:r>
              <w:rPr>
                <w:rFonts w:hint="eastAsia" w:hAnsi="宋体"/>
                <w:szCs w:val="21"/>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151.7</w:t>
            </w:r>
          </w:p>
        </w:tc>
        <w:tc>
          <w:tcPr>
            <w:tcW w:w="2957" w:type="dxa"/>
            <w:vAlign w:val="center"/>
          </w:tcPr>
          <w:p>
            <w:pPr>
              <w:adjustRightInd w:val="0"/>
              <w:snapToGrid w:val="0"/>
              <w:spacing w:line="240" w:lineRule="exact"/>
              <w:jc w:val="center"/>
              <w:rPr>
                <w:rFonts w:hAnsi="宋体"/>
                <w:szCs w:val="21"/>
              </w:rPr>
            </w:pPr>
            <w:r>
              <w:rPr>
                <w:rFonts w:hint="eastAsia" w:hAnsi="宋体"/>
                <w:szCs w:val="21"/>
              </w:rPr>
              <w:t>157.6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32</w:t>
            </w:r>
          </w:p>
        </w:tc>
        <w:tc>
          <w:tcPr>
            <w:tcW w:w="2957" w:type="dxa"/>
            <w:vAlign w:val="center"/>
          </w:tcPr>
          <w:p>
            <w:pPr>
              <w:adjustRightInd w:val="0"/>
              <w:snapToGrid w:val="0"/>
              <w:spacing w:line="240" w:lineRule="exact"/>
              <w:jc w:val="center"/>
              <w:rPr>
                <w:rFonts w:hAnsi="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4</w:t>
            </w:r>
          </w:p>
        </w:tc>
        <w:tc>
          <w:tcPr>
            <w:tcW w:w="2957" w:type="dxa"/>
            <w:vAlign w:val="center"/>
          </w:tcPr>
          <w:p>
            <w:pPr>
              <w:adjustRightInd w:val="0"/>
              <w:snapToGrid w:val="0"/>
              <w:spacing w:line="240" w:lineRule="exact"/>
              <w:jc w:val="center"/>
              <w:rPr>
                <w:rFonts w:hAnsi="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3</w:t>
            </w:r>
          </w:p>
        </w:tc>
        <w:tc>
          <w:tcPr>
            <w:tcW w:w="2957" w:type="dxa"/>
            <w:vAlign w:val="center"/>
          </w:tcPr>
          <w:p>
            <w:pPr>
              <w:adjustRightInd w:val="0"/>
              <w:snapToGrid w:val="0"/>
              <w:spacing w:line="240" w:lineRule="exact"/>
              <w:jc w:val="center"/>
              <w:rPr>
                <w:rFonts w:hAnsi="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0.70</w:t>
            </w:r>
          </w:p>
        </w:tc>
        <w:tc>
          <w:tcPr>
            <w:tcW w:w="2957" w:type="dxa"/>
            <w:vAlign w:val="center"/>
          </w:tcPr>
          <w:p>
            <w:pPr>
              <w:adjustRightInd w:val="0"/>
              <w:snapToGrid w:val="0"/>
              <w:spacing w:line="240" w:lineRule="exact"/>
              <w:jc w:val="center"/>
              <w:rPr>
                <w:rFonts w:hAnsi="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0.35</w:t>
            </w:r>
          </w:p>
        </w:tc>
        <w:tc>
          <w:tcPr>
            <w:tcW w:w="2957" w:type="dxa"/>
            <w:vAlign w:val="center"/>
          </w:tcPr>
          <w:p>
            <w:pPr>
              <w:adjustRightInd w:val="0"/>
              <w:snapToGrid w:val="0"/>
              <w:spacing w:line="240" w:lineRule="exact"/>
              <w:jc w:val="center"/>
              <w:rPr>
                <w:rFonts w:hAnsi="宋体"/>
                <w:szCs w:val="21"/>
              </w:rPr>
            </w:pPr>
            <w:r>
              <w:rPr>
                <w:rFonts w:hint="eastAsia" w:hAnsi="宋体"/>
                <w:szCs w:val="21"/>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3.5</w:t>
            </w:r>
          </w:p>
        </w:tc>
        <w:tc>
          <w:tcPr>
            <w:tcW w:w="2957" w:type="dxa"/>
            <w:vAlign w:val="center"/>
          </w:tcPr>
          <w:p>
            <w:pPr>
              <w:adjustRightInd w:val="0"/>
              <w:snapToGrid w:val="0"/>
              <w:spacing w:line="240" w:lineRule="exact"/>
              <w:jc w:val="center"/>
              <w:rPr>
                <w:rFonts w:hAnsi="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2957" w:type="dxa"/>
            <w:vAlign w:val="center"/>
          </w:tcPr>
          <w:p>
            <w:pPr>
              <w:spacing w:line="360" w:lineRule="exact"/>
              <w:jc w:val="center"/>
              <w:rPr>
                <w:rFonts w:hAnsi="宋体" w:eastAsia="宋体"/>
                <w:szCs w:val="21"/>
              </w:rPr>
            </w:pPr>
            <w:r>
              <w:rPr>
                <w:rFonts w:hint="eastAsia" w:cs="Times New Roman"/>
              </w:rPr>
              <w:t>0.640</w:t>
            </w:r>
          </w:p>
        </w:tc>
        <w:tc>
          <w:tcPr>
            <w:tcW w:w="2957" w:type="dxa"/>
            <w:vAlign w:val="center"/>
          </w:tcPr>
          <w:p>
            <w:pPr>
              <w:spacing w:line="360" w:lineRule="exact"/>
              <w:jc w:val="center"/>
              <w:rPr>
                <w:rFonts w:cs="Times New Roman"/>
              </w:rPr>
            </w:pPr>
            <w:r>
              <w:rPr>
                <w:rFonts w:hint="eastAsia" w:cs="Times New Roman"/>
              </w:rPr>
              <w:t>0.651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2957" w:type="dxa"/>
            <w:vAlign w:val="center"/>
          </w:tcPr>
          <w:p>
            <w:pPr>
              <w:spacing w:line="360" w:lineRule="exact"/>
              <w:jc w:val="center"/>
              <w:rPr>
                <w:rFonts w:hAnsi="宋体" w:eastAsia="宋体"/>
                <w:szCs w:val="21"/>
              </w:rPr>
            </w:pPr>
            <w:r>
              <w:rPr>
                <w:rFonts w:hint="eastAsia" w:cs="Times New Roman"/>
              </w:rPr>
              <w:t>0.766</w:t>
            </w:r>
          </w:p>
        </w:tc>
        <w:tc>
          <w:tcPr>
            <w:tcW w:w="2957" w:type="dxa"/>
            <w:vAlign w:val="center"/>
          </w:tcPr>
          <w:p>
            <w:pPr>
              <w:spacing w:line="360" w:lineRule="exact"/>
              <w:jc w:val="center"/>
              <w:rPr>
                <w:rFonts w:cs="Times New Roman"/>
              </w:rPr>
            </w:pPr>
            <w:r>
              <w:rPr>
                <w:rFonts w:hint="eastAsia" w:cs="Times New Roman"/>
              </w:rPr>
              <w:t>0.770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2957" w:type="dxa"/>
            <w:vAlign w:val="center"/>
          </w:tcPr>
          <w:p>
            <w:pPr>
              <w:spacing w:line="360" w:lineRule="exact"/>
              <w:jc w:val="center"/>
              <w:rPr>
                <w:rFonts w:hAnsi="宋体" w:eastAsia="宋体"/>
                <w:szCs w:val="21"/>
              </w:rPr>
            </w:pPr>
            <w:r>
              <w:rPr>
                <w:rFonts w:hint="eastAsia" w:cs="Times New Roman"/>
              </w:rPr>
              <w:t>57.6</w:t>
            </w:r>
          </w:p>
        </w:tc>
        <w:tc>
          <w:tcPr>
            <w:tcW w:w="2957" w:type="dxa"/>
            <w:vAlign w:val="center"/>
          </w:tcPr>
          <w:p>
            <w:pPr>
              <w:spacing w:line="360" w:lineRule="exact"/>
              <w:jc w:val="center"/>
              <w:rPr>
                <w:rFonts w:cs="Times New Roman"/>
              </w:rPr>
            </w:pPr>
            <w:r>
              <w:rPr>
                <w:rFonts w:hint="eastAsia" w:cs="Times New Roman"/>
              </w:rPr>
              <w:t>61.2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2957" w:type="dxa"/>
            <w:vAlign w:val="center"/>
          </w:tcPr>
          <w:p>
            <w:pPr>
              <w:spacing w:line="360" w:lineRule="exact"/>
              <w:jc w:val="center"/>
              <w:rPr>
                <w:rFonts w:hAnsi="宋体" w:eastAsia="宋体"/>
                <w:szCs w:val="21"/>
              </w:rPr>
            </w:pPr>
            <w:r>
              <w:rPr>
                <w:rFonts w:hint="eastAsia" w:cs="Times New Roman"/>
              </w:rPr>
              <w:t>85.5</w:t>
            </w:r>
          </w:p>
        </w:tc>
        <w:tc>
          <w:tcPr>
            <w:tcW w:w="2957" w:type="dxa"/>
            <w:vAlign w:val="center"/>
          </w:tcPr>
          <w:p>
            <w:pPr>
              <w:spacing w:line="360" w:lineRule="exact"/>
              <w:jc w:val="center"/>
              <w:rPr>
                <w:rFonts w:cs="Times New Roman"/>
              </w:rPr>
            </w:pPr>
            <w:r>
              <w:rPr>
                <w:rFonts w:hint="eastAsia" w:cs="Times New Roman"/>
              </w:rPr>
              <w:t>89.9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2957" w:type="dxa"/>
            <w:vAlign w:val="center"/>
          </w:tcPr>
          <w:p>
            <w:pPr>
              <w:spacing w:line="360" w:lineRule="exact"/>
              <w:jc w:val="center"/>
              <w:rPr>
                <w:rFonts w:hAnsi="宋体" w:eastAsia="宋体"/>
                <w:szCs w:val="21"/>
              </w:rPr>
            </w:pPr>
            <w:r>
              <w:rPr>
                <w:rFonts w:hint="eastAsia" w:cs="Times New Roman"/>
              </w:rPr>
              <w:t>109.7</w:t>
            </w:r>
          </w:p>
        </w:tc>
        <w:tc>
          <w:tcPr>
            <w:tcW w:w="2957" w:type="dxa"/>
            <w:vAlign w:val="center"/>
          </w:tcPr>
          <w:p>
            <w:pPr>
              <w:spacing w:line="360" w:lineRule="exact"/>
              <w:jc w:val="center"/>
              <w:rPr>
                <w:rFonts w:cs="Times New Roman"/>
              </w:rPr>
            </w:pPr>
            <w:r>
              <w:rPr>
                <w:rFonts w:hint="eastAsia" w:cs="Times New Roman"/>
              </w:rPr>
              <w:t>114.5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2957" w:type="dxa"/>
            <w:vAlign w:val="center"/>
          </w:tcPr>
          <w:p>
            <w:pPr>
              <w:spacing w:line="360" w:lineRule="exact"/>
              <w:jc w:val="center"/>
              <w:rPr>
                <w:rFonts w:hAnsi="宋体" w:eastAsia="宋体"/>
                <w:szCs w:val="21"/>
              </w:rPr>
            </w:pPr>
            <w:r>
              <w:rPr>
                <w:rFonts w:hint="eastAsia" w:cs="Times New Roman"/>
              </w:rPr>
              <w:t>129.0</w:t>
            </w:r>
          </w:p>
        </w:tc>
        <w:tc>
          <w:tcPr>
            <w:tcW w:w="2957" w:type="dxa"/>
            <w:vAlign w:val="center"/>
          </w:tcPr>
          <w:p>
            <w:pPr>
              <w:spacing w:line="360" w:lineRule="exact"/>
              <w:jc w:val="center"/>
              <w:rPr>
                <w:rFonts w:cs="Times New Roman"/>
              </w:rPr>
            </w:pPr>
            <w:r>
              <w:rPr>
                <w:rFonts w:hint="eastAsia" w:cs="Times New Roman"/>
              </w:rPr>
              <w:t>134.4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2605" w:type="dxa"/>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2957" w:type="dxa"/>
            <w:vAlign w:val="center"/>
          </w:tcPr>
          <w:p>
            <w:pPr>
              <w:adjustRightInd w:val="0"/>
              <w:snapToGrid w:val="0"/>
              <w:spacing w:line="240" w:lineRule="exact"/>
              <w:jc w:val="center"/>
              <w:rPr>
                <w:rFonts w:hAnsi="宋体" w:eastAsia="宋体"/>
                <w:szCs w:val="21"/>
              </w:rPr>
            </w:pPr>
            <w:r>
              <w:rPr>
                <w:rFonts w:hint="eastAsia" w:hAnsi="宋体"/>
                <w:szCs w:val="21"/>
              </w:rPr>
              <w:t>209.4</w:t>
            </w:r>
          </w:p>
        </w:tc>
        <w:tc>
          <w:tcPr>
            <w:tcW w:w="2957" w:type="dxa"/>
            <w:vAlign w:val="center"/>
          </w:tcPr>
          <w:p>
            <w:pPr>
              <w:adjustRightInd w:val="0"/>
              <w:snapToGrid w:val="0"/>
              <w:spacing w:line="240" w:lineRule="exact"/>
              <w:jc w:val="center"/>
              <w:rPr>
                <w:rFonts w:hAnsi="宋体"/>
                <w:szCs w:val="21"/>
              </w:rPr>
            </w:pPr>
            <w:r>
              <w:rPr>
                <w:rFonts w:hint="eastAsia" w:hAnsi="宋体"/>
                <w:szCs w:val="21"/>
              </w:rPr>
              <w:t>115.1</w:t>
            </w:r>
          </w:p>
        </w:tc>
      </w:tr>
    </w:tbl>
    <w:p>
      <w:pPr>
        <w:adjustRightInd w:val="0"/>
        <w:snapToGrid w:val="0"/>
        <w:spacing w:before="156" w:beforeLines="50" w:line="360" w:lineRule="auto"/>
        <w:ind w:firstLine="560" w:firstLineChars="200"/>
        <w:rPr>
          <w:sz w:val="28"/>
        </w:rPr>
      </w:pPr>
      <w:r>
        <w:rPr>
          <w:rFonts w:hint="eastAsia"/>
          <w:sz w:val="28"/>
        </w:rPr>
        <w:t>根据以上计算成果分析，两种计算方法的成果相差不大，综合分析从工程安全角度和计算方法的适用性考虑，本次设计采用经验单位线法的计算成果。即宜阳道县河段两个区段10年一遇设计洪峰流量分别为209.4m</w:t>
      </w:r>
      <w:r>
        <w:rPr>
          <w:rFonts w:hint="eastAsia"/>
          <w:sz w:val="28"/>
          <w:vertAlign w:val="superscript"/>
        </w:rPr>
        <w:t>3</w:t>
      </w:r>
      <w:r>
        <w:rPr>
          <w:rFonts w:hint="eastAsia"/>
          <w:sz w:val="28"/>
        </w:rPr>
        <w:t>/s和115.1m</w:t>
      </w:r>
      <w:r>
        <w:rPr>
          <w:rFonts w:hint="eastAsia"/>
          <w:sz w:val="28"/>
          <w:vertAlign w:val="superscript"/>
        </w:rPr>
        <w:t>3</w:t>
      </w:r>
      <w:r>
        <w:rPr>
          <w:rFonts w:hint="eastAsia"/>
          <w:sz w:val="28"/>
        </w:rPr>
        <w:t>/s。</w:t>
      </w:r>
    </w:p>
    <w:p>
      <w:pPr>
        <w:pStyle w:val="4"/>
        <w:keepNext w:val="0"/>
        <w:keepLines w:val="0"/>
        <w:numPr>
          <w:ilvl w:val="1"/>
          <w:numId w:val="0"/>
        </w:numPr>
        <w:spacing w:before="156" w:beforeLines="50" w:line="360" w:lineRule="auto"/>
        <w:rPr>
          <w:rFonts w:ascii="Times New Roman" w:hAnsi="Times New Roman" w:cs="Times New Roman"/>
          <w:sz w:val="28"/>
          <w:szCs w:val="28"/>
        </w:rPr>
      </w:pPr>
      <w:bookmarkStart w:id="94" w:name="_Toc31018"/>
      <w:bookmarkStart w:id="95" w:name="_Toc27103"/>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.4.5</w:t>
      </w:r>
      <w:r>
        <w:rPr>
          <w:rFonts w:hint="eastAsia" w:ascii="Times New Roman" w:hAnsi="Times New Roman" w:cs="Times New Roman"/>
          <w:b w:val="0"/>
          <w:bCs w:val="0"/>
          <w:sz w:val="28"/>
          <w:szCs w:val="28"/>
        </w:rPr>
        <w:t>设计洪水计算成果合理性分析</w:t>
      </w:r>
      <w:bookmarkEnd w:id="94"/>
      <w:bookmarkEnd w:id="95"/>
    </w:p>
    <w:p>
      <w:pPr>
        <w:spacing w:before="156" w:line="360" w:lineRule="auto"/>
        <w:ind w:firstLine="480"/>
        <w:rPr>
          <w:rFonts w:hAnsi="宋体"/>
          <w:b/>
          <w:bCs/>
          <w:snapToGrid w:val="0"/>
          <w:szCs w:val="21"/>
        </w:rPr>
      </w:pPr>
      <w:r>
        <w:rPr>
          <w:rFonts w:hint="eastAsia"/>
          <w:sz w:val="28"/>
        </w:rPr>
        <w:t>邻近流域濂溪河</w:t>
      </w:r>
      <w:r>
        <w:rPr>
          <w:sz w:val="28"/>
        </w:rPr>
        <w:t>控制面积</w:t>
      </w:r>
      <w:r>
        <w:rPr>
          <w:rFonts w:hint="eastAsia"/>
          <w:sz w:val="28"/>
        </w:rPr>
        <w:t>203</w:t>
      </w:r>
      <w:r>
        <w:rPr>
          <w:sz w:val="28"/>
        </w:rPr>
        <w:t>km</w:t>
      </w:r>
      <w:r>
        <w:rPr>
          <w:sz w:val="28"/>
          <w:vertAlign w:val="superscript"/>
        </w:rPr>
        <w:t>2</w:t>
      </w:r>
      <w:r>
        <w:rPr>
          <w:rFonts w:hint="eastAsia"/>
          <w:sz w:val="28"/>
        </w:rPr>
        <w:t>，将两条河计算结果与其进行分析比较如下表。</w:t>
      </w: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 xml:space="preserve">表9 </w:t>
      </w:r>
      <w:r>
        <w:rPr>
          <w:rFonts w:hint="eastAsia" w:hAnsi="宋体"/>
          <w:b/>
          <w:bCs/>
          <w:snapToGrid w:val="0"/>
          <w:sz w:val="24"/>
          <w:szCs w:val="24"/>
        </w:rPr>
        <w:t xml:space="preserve">              宜阳河与濂溪河</w:t>
      </w:r>
      <w:r>
        <w:rPr>
          <w:rFonts w:hAnsi="宋体"/>
          <w:b/>
          <w:bCs/>
          <w:snapToGrid w:val="0"/>
          <w:sz w:val="24"/>
          <w:szCs w:val="24"/>
        </w:rPr>
        <w:t>设计洪水比较</w:t>
      </w:r>
      <w:r>
        <w:rPr>
          <w:rFonts w:hint="eastAsia" w:hAnsi="宋体"/>
          <w:b/>
          <w:bCs/>
          <w:snapToGrid w:val="0"/>
          <w:sz w:val="24"/>
          <w:szCs w:val="24"/>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vAlign w:val="center"/>
          </w:tcPr>
          <w:p>
            <w:pPr>
              <w:widowControl/>
              <w:jc w:val="center"/>
              <w:rPr>
                <w:rFonts w:hAnsi="宋体"/>
                <w:snapToGrid w:val="0"/>
                <w:szCs w:val="21"/>
              </w:rPr>
            </w:pPr>
            <w:r>
              <w:rPr>
                <w:rFonts w:hint="eastAsia" w:hAnsi="宋体"/>
                <w:snapToGrid w:val="0"/>
                <w:szCs w:val="21"/>
              </w:rPr>
              <w:t>站名</w:t>
            </w:r>
          </w:p>
        </w:tc>
        <w:tc>
          <w:tcPr>
            <w:tcW w:w="2055" w:type="dxa"/>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vAlign w:val="center"/>
          </w:tcPr>
          <w:p>
            <w:pPr>
              <w:widowControl/>
              <w:jc w:val="center"/>
              <w:rPr>
                <w:rFonts w:hAnsi="宋体"/>
                <w:snapToGrid w:val="0"/>
                <w:szCs w:val="21"/>
              </w:rPr>
            </w:pPr>
            <w:r>
              <w:rPr>
                <w:rFonts w:hint="eastAsia" w:hAnsi="宋体"/>
                <w:snapToGrid w:val="0"/>
                <w:szCs w:val="21"/>
              </w:rPr>
              <w:t>宜阳河</w:t>
            </w:r>
          </w:p>
        </w:tc>
        <w:tc>
          <w:tcPr>
            <w:tcW w:w="2055" w:type="dxa"/>
            <w:vAlign w:val="center"/>
          </w:tcPr>
          <w:p>
            <w:pPr>
              <w:jc w:val="center"/>
              <w:rPr>
                <w:snapToGrid w:val="0"/>
                <w:szCs w:val="21"/>
              </w:rPr>
            </w:pPr>
            <w:r>
              <w:rPr>
                <w:rFonts w:hint="eastAsia"/>
                <w:snapToGrid w:val="0"/>
                <w:szCs w:val="21"/>
              </w:rPr>
              <w:t>73.8</w:t>
            </w:r>
          </w:p>
        </w:tc>
        <w:tc>
          <w:tcPr>
            <w:tcW w:w="1890" w:type="dxa"/>
            <w:vAlign w:val="center"/>
          </w:tcPr>
          <w:p>
            <w:pPr>
              <w:jc w:val="center"/>
              <w:rPr>
                <w:snapToGrid w:val="0"/>
                <w:szCs w:val="21"/>
              </w:rPr>
            </w:pPr>
            <w:r>
              <w:rPr>
                <w:rFonts w:hint="eastAsia"/>
                <w:snapToGrid w:val="0"/>
                <w:szCs w:val="21"/>
              </w:rPr>
              <w:t>209.4</w:t>
            </w:r>
          </w:p>
        </w:tc>
        <w:tc>
          <w:tcPr>
            <w:tcW w:w="2501" w:type="dxa"/>
            <w:vAlign w:val="center"/>
          </w:tcPr>
          <w:p>
            <w:pPr>
              <w:jc w:val="center"/>
              <w:rPr>
                <w:snapToGrid w:val="0"/>
                <w:szCs w:val="21"/>
              </w:rPr>
            </w:pPr>
            <w:r>
              <w:rPr>
                <w:rFonts w:hint="eastAsia"/>
                <w:snapToGrid w:val="0"/>
                <w:szCs w:val="21"/>
              </w:rPr>
              <w:t>2.84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vAlign w:val="center"/>
          </w:tcPr>
          <w:p>
            <w:pPr>
              <w:widowControl/>
              <w:jc w:val="center"/>
              <w:rPr>
                <w:rFonts w:hAnsi="宋体" w:eastAsia="宋体"/>
                <w:snapToGrid w:val="0"/>
                <w:szCs w:val="21"/>
              </w:rPr>
            </w:pPr>
            <w:r>
              <w:rPr>
                <w:rFonts w:hint="eastAsia" w:hAnsi="宋体"/>
                <w:snapToGrid w:val="0"/>
                <w:szCs w:val="21"/>
              </w:rPr>
              <w:t>濂溪河</w:t>
            </w:r>
          </w:p>
        </w:tc>
        <w:tc>
          <w:tcPr>
            <w:tcW w:w="2055" w:type="dxa"/>
            <w:vAlign w:val="center"/>
          </w:tcPr>
          <w:p>
            <w:pPr>
              <w:snapToGrid w:val="0"/>
              <w:spacing w:line="400" w:lineRule="exact"/>
              <w:jc w:val="center"/>
              <w:rPr>
                <w:rFonts w:eastAsia="宋体"/>
                <w:snapToGrid w:val="0"/>
                <w:szCs w:val="21"/>
              </w:rPr>
            </w:pPr>
            <w:r>
              <w:rPr>
                <w:rFonts w:hint="eastAsia"/>
                <w:snapToGrid w:val="0"/>
                <w:szCs w:val="21"/>
              </w:rPr>
              <w:t>203</w:t>
            </w:r>
          </w:p>
        </w:tc>
        <w:tc>
          <w:tcPr>
            <w:tcW w:w="1890" w:type="dxa"/>
            <w:vAlign w:val="center"/>
          </w:tcPr>
          <w:p>
            <w:pPr>
              <w:snapToGrid w:val="0"/>
              <w:spacing w:line="400" w:lineRule="exact"/>
              <w:jc w:val="center"/>
              <w:rPr>
                <w:rFonts w:eastAsia="宋体"/>
                <w:snapToGrid w:val="0"/>
                <w:szCs w:val="21"/>
              </w:rPr>
            </w:pPr>
            <w:r>
              <w:rPr>
                <w:rFonts w:hint="eastAsia"/>
                <w:snapToGrid w:val="0"/>
                <w:szCs w:val="21"/>
              </w:rPr>
              <w:t>547.9</w:t>
            </w:r>
          </w:p>
        </w:tc>
        <w:tc>
          <w:tcPr>
            <w:tcW w:w="2501" w:type="dxa"/>
            <w:vAlign w:val="center"/>
          </w:tcPr>
          <w:p>
            <w:pPr>
              <w:snapToGrid w:val="0"/>
              <w:spacing w:line="400" w:lineRule="exact"/>
              <w:jc w:val="center"/>
              <w:rPr>
                <w:rFonts w:eastAsia="宋体"/>
                <w:snapToGrid w:val="0"/>
                <w:szCs w:val="21"/>
              </w:rPr>
            </w:pPr>
            <w:r>
              <w:rPr>
                <w:rFonts w:hint="eastAsia"/>
                <w:snapToGrid w:val="0"/>
                <w:szCs w:val="21"/>
              </w:rPr>
              <w:t>2.70</w:t>
            </w:r>
          </w:p>
        </w:tc>
      </w:tr>
    </w:tbl>
    <w:p>
      <w:pPr>
        <w:spacing w:before="156" w:line="360" w:lineRule="auto"/>
        <w:ind w:firstLine="560" w:firstLineChars="200"/>
        <w:rPr>
          <w:sz w:val="28"/>
        </w:rPr>
      </w:pPr>
      <w:r>
        <w:rPr>
          <w:rFonts w:hint="eastAsia"/>
          <w:sz w:val="28"/>
        </w:rPr>
        <w:t>从上表可以看出，两条河中宜阳河的控制流域面积小，洪峰模数较大，且设计洪水统计参数无异常变化，符合地区变化规律，统计参数符合本流域地区变化规律并与流域降雨特性一致，统计参数合理。故本次宜阳河设计洪水成果较为合理。</w:t>
      </w:r>
    </w:p>
    <w:p>
      <w:pPr>
        <w:pStyle w:val="5"/>
        <w:ind w:left="0" w:firstLine="0"/>
      </w:pPr>
      <w:bookmarkStart w:id="96" w:name="_Toc4312"/>
      <w:r>
        <w:rPr>
          <w:rFonts w:hint="eastAsia"/>
        </w:rPr>
        <w:t>洪水位标图</w:t>
      </w:r>
      <w:bookmarkEnd w:id="75"/>
      <w:bookmarkEnd w:id="76"/>
      <w:bookmarkEnd w:id="96"/>
    </w:p>
    <w:p>
      <w:pPr>
        <w:pStyle w:val="2"/>
        <w:spacing w:line="480" w:lineRule="auto"/>
        <w:ind w:firstLine="560" w:firstLineChars="200"/>
        <w:rPr>
          <w:sz w:val="28"/>
        </w:rPr>
      </w:pPr>
      <w:r>
        <w:rPr>
          <w:rFonts w:hint="eastAsia" w:ascii="宋体" w:hAnsi="宋体" w:eastAsia="宋体" w:cs="Times New Roman"/>
          <w:sz w:val="28"/>
        </w:rPr>
        <w:t>根据本次方案计算得到的宜阳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97" w:name="_Toc16673"/>
      <w:bookmarkStart w:id="98" w:name="_Toc15233148"/>
      <w:bookmarkStart w:id="99" w:name="_Toc15228287"/>
      <w:r>
        <w:rPr>
          <w:rFonts w:hint="eastAsia"/>
        </w:rPr>
        <w:t>管理范围界限初步划定</w:t>
      </w:r>
      <w:bookmarkEnd w:id="97"/>
      <w:bookmarkEnd w:id="98"/>
      <w:bookmarkEnd w:id="99"/>
    </w:p>
    <w:p>
      <w:pPr>
        <w:pStyle w:val="45"/>
        <w:ind w:firstLine="560"/>
      </w:pPr>
      <w:bookmarkStart w:id="100" w:name="_Toc15228288"/>
      <w:bookmarkStart w:id="101" w:name="_Toc15233149"/>
      <w:r>
        <w:rPr>
          <w:rFonts w:hint="eastAsia" w:ascii="宋体" w:hAnsi="宋体" w:eastAsia="宋体" w:cs="Times New Roman"/>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pPr>
        <w:pStyle w:val="5"/>
        <w:ind w:left="0" w:firstLine="0"/>
      </w:pPr>
      <w:bookmarkStart w:id="102" w:name="_Toc10968"/>
      <w:r>
        <w:rPr>
          <w:rFonts w:hint="eastAsia"/>
        </w:rPr>
        <w:t>界桩和告示牌预布设</w:t>
      </w:r>
      <w:bookmarkEnd w:id="100"/>
      <w:bookmarkEnd w:id="101"/>
      <w:bookmarkEnd w:id="102"/>
    </w:p>
    <w:p>
      <w:pPr>
        <w:pStyle w:val="45"/>
        <w:ind w:firstLine="560"/>
        <w:rPr>
          <w:rFonts w:ascii="宋体" w:hAnsi="宋体" w:eastAsia="宋体" w:cs="宋体"/>
        </w:rPr>
      </w:pPr>
      <w:r>
        <w:rPr>
          <w:rFonts w:hint="eastAsia"/>
        </w:rPr>
        <w:t>（1）</w:t>
      </w:r>
      <w:r>
        <w:rPr>
          <w:rFonts w:hint="eastAsia" w:ascii="宋体" w:hAnsi="宋体" w:eastAsia="宋体" w:cs="宋体"/>
        </w:rPr>
        <w:t>界桩布设位置</w:t>
      </w:r>
    </w:p>
    <w:p>
      <w:pPr>
        <w:pStyle w:val="45"/>
        <w:ind w:firstLine="560"/>
        <w:rPr>
          <w:rFonts w:ascii="宋体" w:hAnsi="宋体" w:eastAsia="宋体" w:cs="宋体"/>
        </w:rPr>
      </w:pPr>
      <w:r>
        <w:rPr>
          <w:rFonts w:hint="eastAsia" w:ascii="宋体" w:hAnsi="宋体" w:eastAsia="宋体" w:cs="宋体"/>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5"/>
        <w:ind w:firstLine="560"/>
        <w:rPr>
          <w:rFonts w:ascii="宋体" w:hAnsi="宋体" w:eastAsia="宋体" w:cs="宋体"/>
        </w:rPr>
      </w:pPr>
      <w:r>
        <w:rPr>
          <w:rFonts w:hint="eastAsia" w:ascii="宋体" w:hAnsi="宋体" w:eastAsia="宋体" w:cs="宋体"/>
        </w:rPr>
        <w:t>当按照界桩布设规则，界桩落在湿地、水域等不适宜埋设区域时，可在管理范围界线方向上调整界桩位置。</w:t>
      </w:r>
    </w:p>
    <w:p>
      <w:pPr>
        <w:pStyle w:val="45"/>
        <w:ind w:firstLine="560"/>
        <w:rPr>
          <w:rFonts w:ascii="宋体" w:hAnsi="宋体" w:eastAsia="宋体" w:cs="宋体"/>
        </w:rPr>
      </w:pPr>
      <w:r>
        <w:rPr>
          <w:rFonts w:hint="eastAsia" w:ascii="宋体" w:hAnsi="宋体" w:eastAsia="宋体" w:cs="宋体"/>
        </w:rPr>
        <w:t>在无生产、生活、人类活动的陡崖、荒山、森林等河段，可根据实际情况加大界桩间距，但在下列情况应增设管理范围界桩：</w:t>
      </w:r>
    </w:p>
    <w:p>
      <w:pPr>
        <w:pStyle w:val="45"/>
        <w:ind w:firstLine="560"/>
        <w:rPr>
          <w:rFonts w:ascii="宋体" w:hAnsi="宋体" w:eastAsia="宋体" w:cs="宋体"/>
        </w:rPr>
      </w:pPr>
      <w:r>
        <w:rPr>
          <w:rFonts w:hint="eastAsia" w:ascii="宋体" w:hAnsi="宋体" w:eastAsia="宋体" w:cs="宋体"/>
        </w:rPr>
        <w:t>a）重要下河通道（车行通道)；</w:t>
      </w:r>
    </w:p>
    <w:p>
      <w:pPr>
        <w:pStyle w:val="45"/>
        <w:ind w:firstLine="560"/>
        <w:rPr>
          <w:rFonts w:ascii="宋体" w:hAnsi="宋体" w:eastAsia="宋体" w:cs="宋体"/>
        </w:rPr>
      </w:pPr>
      <w:r>
        <w:rPr>
          <w:rFonts w:hint="eastAsia" w:ascii="宋体" w:hAnsi="宋体" w:eastAsia="宋体" w:cs="宋体"/>
        </w:rPr>
        <w:t>b）重要码头、桥梁、取水口、电站等涉河设施处；</w:t>
      </w:r>
    </w:p>
    <w:p>
      <w:pPr>
        <w:pStyle w:val="45"/>
        <w:ind w:firstLine="560"/>
        <w:rPr>
          <w:rFonts w:ascii="宋体" w:hAnsi="宋体" w:eastAsia="宋体" w:cs="宋体"/>
        </w:rPr>
      </w:pPr>
      <w:r>
        <w:rPr>
          <w:rFonts w:hint="eastAsia" w:ascii="宋体" w:hAnsi="宋体" w:eastAsia="宋体" w:cs="宋体"/>
        </w:rPr>
        <w:t>c）河道拐弯(角度小于120度)处；</w:t>
      </w:r>
    </w:p>
    <w:p>
      <w:pPr>
        <w:pStyle w:val="45"/>
        <w:ind w:firstLine="560"/>
        <w:rPr>
          <w:rFonts w:ascii="宋体" w:hAnsi="宋体" w:eastAsia="宋体" w:cs="宋体"/>
        </w:rPr>
      </w:pPr>
      <w:r>
        <w:rPr>
          <w:rFonts w:hint="eastAsia" w:ascii="宋体" w:hAnsi="宋体" w:eastAsia="宋体" w:cs="宋体"/>
        </w:rPr>
        <w:t>d）水事纠纷和水事案件易发地段或行政界；</w:t>
      </w:r>
    </w:p>
    <w:p>
      <w:pPr>
        <w:pStyle w:val="45"/>
        <w:ind w:firstLine="560"/>
        <w:rPr>
          <w:rFonts w:ascii="宋体" w:hAnsi="宋体" w:eastAsia="宋体" w:cs="宋体"/>
        </w:rPr>
      </w:pPr>
      <w:r>
        <w:rPr>
          <w:rFonts w:hint="eastAsia" w:ascii="宋体" w:hAnsi="宋体" w:eastAsia="宋体" w:cs="宋体"/>
        </w:rPr>
        <w:t>e）县界交界、河道尽头处应埋设界桩。</w:t>
      </w:r>
    </w:p>
    <w:p>
      <w:pPr>
        <w:pStyle w:val="45"/>
        <w:ind w:firstLine="560"/>
        <w:rPr>
          <w:rFonts w:ascii="宋体" w:hAnsi="宋体" w:cs="宋体"/>
        </w:rPr>
      </w:pPr>
      <w:r>
        <w:rPr>
          <w:rFonts w:hint="eastAsia"/>
          <w:color w:val="000000" w:themeColor="text1"/>
        </w:rPr>
        <w:t>根据对宜阳河道县河段的实地调查，对于下述情况应该埋设公共界桩：</w:t>
      </w:r>
    </w:p>
    <w:p>
      <w:pPr>
        <w:pStyle w:val="45"/>
        <w:ind w:firstLine="560"/>
      </w:pPr>
      <w:r>
        <w:rPr>
          <w:rFonts w:ascii="Calibri" w:hAnsi="Calibri" w:eastAsia="宋体" w:cs="Calibri"/>
        </w:rPr>
        <w:t>①</w:t>
      </w:r>
      <w:r>
        <w:rPr>
          <w:rFonts w:hint="eastAsia" w:ascii="宋体" w:hAnsi="宋体" w:eastAsia="宋体" w:cs="宋体"/>
        </w:rPr>
        <w:t>干、支河交汇处干、支河交汇处需设置公共界桩，并按照干河界桩埋设，支河划界成果信息化时需釆集公共桩数据并进行编号；干河管理范围内不再埋设支河管理范围界桩（如图2所示）。</w:t>
      </w:r>
    </w:p>
    <w:p>
      <w:pPr>
        <w:pStyle w:val="45"/>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6"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5"/>
        <w:ind w:firstLine="560"/>
        <w:jc w:val="center"/>
      </w:pPr>
      <w:r>
        <w:rPr>
          <w:rFonts w:hint="eastAsia"/>
        </w:rPr>
        <w:t>图2 干支流交汇无控制性建筑物</w:t>
      </w:r>
    </w:p>
    <w:p>
      <w:pPr>
        <w:pStyle w:val="45"/>
        <w:ind w:firstLine="560"/>
        <w:rPr>
          <w:rFonts w:ascii="宋体" w:hAnsi="宋体" w:eastAsia="宋体" w:cs="宋体"/>
        </w:rPr>
      </w:pPr>
      <w:r>
        <w:rPr>
          <w:rFonts w:ascii="Calibri" w:hAnsi="Calibri" w:eastAsia="宋体" w:cs="Calibri"/>
        </w:rPr>
        <w:t>②</w:t>
      </w:r>
      <w:r>
        <w:rPr>
          <w:rFonts w:hint="eastAsia" w:ascii="宋体" w:hAnsi="宋体" w:eastAsia="宋体" w:cs="宋体"/>
        </w:rPr>
        <w:t>相邻行政区</w:t>
      </w:r>
    </w:p>
    <w:p>
      <w:pPr>
        <w:pStyle w:val="45"/>
        <w:ind w:firstLine="560"/>
        <w:rPr>
          <w:rFonts w:ascii="宋体" w:hAnsi="宋体" w:eastAsia="宋体" w:cs="宋体"/>
        </w:rPr>
      </w:pPr>
      <w:r>
        <w:rPr>
          <w:rFonts w:hint="eastAsia" w:ascii="宋体" w:hAnsi="宋体" w:eastAsia="宋体" w:cs="宋体"/>
        </w:rPr>
        <w:t>相邻行政辖区管理范围在接边处需采用同一标准划定，管理范围与行政边界交汇处需设置公共界桩并按照上游（湖泊、水库等按照顺时针方向）行政区编号，下游划界成果信息化时需釆集公共桩数据并作为起始编号，公共界桩仅作为管理范围界线标识，不表征行政区划界线（如图3所示）。</w:t>
      </w:r>
    </w:p>
    <w:p>
      <w:pPr>
        <w:pStyle w:val="45"/>
        <w:ind w:firstLine="560"/>
      </w:pPr>
      <w:r>
        <w:rPr>
          <w:rFonts w:hint="eastAsia"/>
        </w:rPr>
        <w:drawing>
          <wp:inline distT="0" distB="0" distL="0" distR="0">
            <wp:extent cx="4333875" cy="20764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27" cstate="print"/>
                    <a:srcRect l="1355" t="2370"/>
                    <a:stretch>
                      <a:fillRect/>
                    </a:stretch>
                  </pic:blipFill>
                  <pic:spPr>
                    <a:xfrm>
                      <a:off x="0" y="0"/>
                      <a:ext cx="4333875" cy="2076450"/>
                    </a:xfrm>
                    <a:prstGeom prst="rect">
                      <a:avLst/>
                    </a:prstGeom>
                    <a:noFill/>
                    <a:ln w="9525">
                      <a:noFill/>
                      <a:miter lim="800000"/>
                      <a:headEnd/>
                      <a:tailEnd/>
                    </a:ln>
                  </pic:spPr>
                </pic:pic>
              </a:graphicData>
            </a:graphic>
          </wp:inline>
        </w:drawing>
      </w:r>
    </w:p>
    <w:p>
      <w:pPr>
        <w:pStyle w:val="45"/>
        <w:ind w:firstLine="560"/>
        <w:jc w:val="center"/>
      </w:pPr>
      <w:r>
        <w:rPr>
          <w:rFonts w:hint="eastAsia"/>
        </w:rPr>
        <w:t>图3相邻行政界线</w:t>
      </w:r>
    </w:p>
    <w:p>
      <w:pPr>
        <w:pStyle w:val="45"/>
        <w:ind w:firstLine="560"/>
      </w:pPr>
      <w:r>
        <w:rPr>
          <w:rFonts w:hint="eastAsia"/>
        </w:rPr>
        <w:t>（2）告示牌布设位置</w:t>
      </w:r>
    </w:p>
    <w:p>
      <w:pPr>
        <w:pStyle w:val="45"/>
        <w:ind w:firstLine="560"/>
      </w:pPr>
      <w:r>
        <w:rPr>
          <w:rFonts w:hint="eastAsia"/>
        </w:rPr>
        <w:t>城市规划区告示牌不少于3处，城镇规划区告示牌不少于1处。告示牌通常设置在下述位置：</w:t>
      </w:r>
    </w:p>
    <w:p>
      <w:pPr>
        <w:pStyle w:val="45"/>
        <w:ind w:firstLine="560"/>
      </w:pPr>
      <w:r>
        <w:rPr>
          <w:rFonts w:hint="eastAsia"/>
        </w:rPr>
        <w:t>a) 穿越城镇规划区上、下游；</w:t>
      </w:r>
    </w:p>
    <w:p>
      <w:pPr>
        <w:pStyle w:val="45"/>
        <w:ind w:firstLine="560"/>
      </w:pPr>
      <w:r>
        <w:rPr>
          <w:rFonts w:hint="eastAsia"/>
        </w:rPr>
        <w:t>b) 重要下河通道（车行通道）；</w:t>
      </w:r>
    </w:p>
    <w:p>
      <w:pPr>
        <w:pStyle w:val="45"/>
        <w:ind w:firstLine="560"/>
      </w:pPr>
      <w:r>
        <w:rPr>
          <w:rFonts w:hint="eastAsia"/>
        </w:rPr>
        <w:t>c) 人口密集或人流聚集地点河岸。</w:t>
      </w:r>
    </w:p>
    <w:p>
      <w:pPr>
        <w:pStyle w:val="45"/>
        <w:ind w:firstLine="560"/>
      </w:pPr>
      <w:bookmarkStart w:id="103" w:name="_Toc463087608"/>
      <w:r>
        <w:rPr>
          <w:rFonts w:hint="eastAsia"/>
        </w:rPr>
        <w:t>（3）界桩和告示牌点位略图制作</w:t>
      </w:r>
      <w:bookmarkEnd w:id="103"/>
    </w:p>
    <w:p>
      <w:pPr>
        <w:pStyle w:val="45"/>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104" w:name="_Toc32622"/>
      <w:bookmarkStart w:id="105" w:name="_Toc15228289"/>
      <w:bookmarkStart w:id="106" w:name="_Toc15233150"/>
      <w:r>
        <w:rPr>
          <w:rFonts w:hint="eastAsia"/>
        </w:rPr>
        <w:t>管理范围线实地修正</w:t>
      </w:r>
      <w:bookmarkEnd w:id="104"/>
      <w:bookmarkEnd w:id="105"/>
      <w:bookmarkEnd w:id="106"/>
    </w:p>
    <w:p>
      <w:pPr>
        <w:pStyle w:val="2"/>
        <w:spacing w:line="480" w:lineRule="auto"/>
        <w:ind w:firstLine="618" w:firstLineChars="221"/>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107" w:name="_Toc15228290"/>
      <w:bookmarkStart w:id="108" w:name="_Toc15233151"/>
      <w:bookmarkStart w:id="109" w:name="_Toc2090"/>
      <w:r>
        <w:rPr>
          <w:rFonts w:hint="eastAsia"/>
        </w:rPr>
        <w:t>河道管理范围划界标准</w:t>
      </w:r>
      <w:bookmarkEnd w:id="107"/>
      <w:bookmarkEnd w:id="108"/>
      <w:r>
        <w:rPr>
          <w:rFonts w:hint="eastAsia"/>
        </w:rPr>
        <w:t>和依据</w:t>
      </w:r>
      <w:bookmarkEnd w:id="109"/>
    </w:p>
    <w:p>
      <w:pPr>
        <w:pStyle w:val="45"/>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2"/>
        <w:spacing w:line="480" w:lineRule="auto"/>
        <w:ind w:firstLine="565" w:firstLineChars="202"/>
        <w:rPr>
          <w:rFonts w:ascii="宋体" w:hAnsi="宋体" w:eastAsia="宋体" w:cs="宋体"/>
          <w:sz w:val="28"/>
        </w:rPr>
      </w:pPr>
      <w:r>
        <w:rPr>
          <w:rFonts w:hint="eastAsia"/>
          <w:sz w:val="28"/>
        </w:rPr>
        <w:t>宜阳河道县河段划定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。宜阳河道县河段大部分</w:t>
      </w:r>
      <w:r>
        <w:rPr>
          <w:sz w:val="28"/>
        </w:rPr>
        <w:t>河道</w:t>
      </w:r>
      <w:r>
        <w:rPr>
          <w:rFonts w:hint="eastAsia"/>
          <w:sz w:val="28"/>
        </w:rPr>
        <w:t>虽建有加固的河堤，但均未达标，按</w:t>
      </w:r>
      <w:r>
        <w:rPr>
          <w:sz w:val="28"/>
        </w:rPr>
        <w:t>无堤防</w:t>
      </w:r>
      <w:r>
        <w:rPr>
          <w:rFonts w:hint="eastAsia"/>
          <w:sz w:val="28"/>
        </w:rPr>
        <w:t>河道进行划界。</w:t>
      </w:r>
      <w:r>
        <w:rPr>
          <w:sz w:val="28"/>
        </w:rPr>
        <w:t>具体划界原则如下</w:t>
      </w:r>
      <w:r>
        <w:rPr>
          <w:rFonts w:hint="eastAsia" w:ascii="宋体" w:hAnsi="宋体" w:eastAsia="宋体" w:cs="宋体"/>
          <w:sz w:val="28"/>
        </w:rPr>
        <w:t>：</w:t>
      </w:r>
    </w:p>
    <w:p>
      <w:pPr>
        <w:pStyle w:val="4"/>
      </w:pPr>
      <w:bookmarkStart w:id="110" w:name="_Toc30330"/>
      <w:r>
        <w:rPr>
          <w:rFonts w:hint="eastAsia"/>
        </w:rPr>
        <w:t>无堤防的河道管理范围划界标准和依据</w:t>
      </w:r>
      <w:bookmarkEnd w:id="110"/>
    </w:p>
    <w:p>
      <w:pPr>
        <w:pStyle w:val="45"/>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5"/>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5"/>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5"/>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5"/>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5"/>
        <w:ind w:firstLine="560"/>
      </w:pPr>
      <w:r>
        <w:rPr>
          <w:rFonts w:hint="eastAsia" w:ascii="宋体" w:hAnsi="宋体" w:eastAsia="宋体" w:cs="Times New Roman"/>
        </w:rPr>
        <w:t>根据相关法律法规及技术导则，无堤防的河道管理范围界线应根据设计洪水位确定。结合宜阳河道县河段实际情况，采用10年一遇设计洪水位作为河道管理范围</w:t>
      </w:r>
      <w:r>
        <w:rPr>
          <w:rFonts w:hint="eastAsia"/>
        </w:rPr>
        <w:t>。</w:t>
      </w:r>
    </w:p>
    <w:p>
      <w:pPr>
        <w:pStyle w:val="2"/>
        <w:ind w:firstLine="560" w:firstLineChars="200"/>
        <w:rPr>
          <w:rFonts w:ascii="宋体" w:hAnsi="宋体" w:eastAsia="宋体" w:cs="宋体"/>
          <w:sz w:val="28"/>
        </w:rPr>
      </w:pPr>
      <w:r>
        <w:rPr>
          <w:rFonts w:hint="eastAsia"/>
          <w:sz w:val="28"/>
        </w:rPr>
        <w:t>宜阳河道县段管理范围划定标准见下表</w:t>
      </w:r>
      <w:r>
        <w:rPr>
          <w:rFonts w:hint="eastAsia" w:ascii="宋体" w:hAnsi="宋体" w:eastAsia="宋体" w:cs="宋体"/>
          <w:sz w:val="28"/>
        </w:rPr>
        <w:t>：</w:t>
      </w:r>
    </w:p>
    <w:p>
      <w:pPr>
        <w:jc w:val="left"/>
        <w:rPr>
          <w:b/>
        </w:rPr>
      </w:pPr>
      <w:r>
        <w:rPr>
          <w:rFonts w:hint="eastAsia"/>
          <w:b/>
        </w:rPr>
        <w:t>表10                    宜阳河道县河段管理范围划定标准表</w:t>
      </w:r>
    </w:p>
    <w:tbl>
      <w:tblPr>
        <w:tblStyle w:val="22"/>
        <w:tblW w:w="8662" w:type="dxa"/>
        <w:tblInd w:w="93" w:type="dxa"/>
        <w:tblLayout w:type="fixed"/>
        <w:tblCellMar>
          <w:top w:w="0" w:type="dxa"/>
          <w:left w:w="108" w:type="dxa"/>
          <w:bottom w:w="0" w:type="dxa"/>
          <w:right w:w="108" w:type="dxa"/>
        </w:tblCellMar>
      </w:tblPr>
      <w:tblGrid>
        <w:gridCol w:w="415"/>
        <w:gridCol w:w="415"/>
        <w:gridCol w:w="886"/>
        <w:gridCol w:w="1134"/>
        <w:gridCol w:w="851"/>
        <w:gridCol w:w="1134"/>
        <w:gridCol w:w="425"/>
        <w:gridCol w:w="1276"/>
        <w:gridCol w:w="850"/>
        <w:gridCol w:w="1276"/>
      </w:tblGrid>
      <w:tr>
        <w:tblPrEx>
          <w:tblCellMar>
            <w:top w:w="0" w:type="dxa"/>
            <w:left w:w="108" w:type="dxa"/>
            <w:bottom w:w="0" w:type="dxa"/>
            <w:right w:w="108" w:type="dxa"/>
          </w:tblCellMar>
        </w:tblPrEx>
        <w:trPr>
          <w:trHeight w:val="300" w:hRule="atLeast"/>
          <w:tblHeader/>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岸别</w:t>
            </w:r>
          </w:p>
        </w:tc>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类别</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起点</w:t>
            </w:r>
          </w:p>
        </w:tc>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终点</w:t>
            </w:r>
          </w:p>
        </w:tc>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河段属性</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依据</w:t>
            </w:r>
          </w:p>
        </w:tc>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划界标准</w:t>
            </w:r>
          </w:p>
        </w:tc>
      </w:tr>
      <w:tr>
        <w:tblPrEx>
          <w:tblCellMar>
            <w:top w:w="0" w:type="dxa"/>
            <w:left w:w="108" w:type="dxa"/>
            <w:bottom w:w="0" w:type="dxa"/>
            <w:right w:w="108" w:type="dxa"/>
          </w:tblCellMar>
        </w:tblPrEx>
        <w:trPr>
          <w:trHeight w:val="540" w:hRule="atLeast"/>
          <w:tblHeader/>
        </w:trPr>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42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护堤地范围</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其他标准</w:t>
            </w:r>
          </w:p>
        </w:tc>
      </w:tr>
      <w:tr>
        <w:tblPrEx>
          <w:tblCellMar>
            <w:top w:w="0" w:type="dxa"/>
            <w:left w:w="108" w:type="dxa"/>
            <w:bottom w:w="0" w:type="dxa"/>
            <w:right w:w="108" w:type="dxa"/>
          </w:tblCellMar>
        </w:tblPrEx>
        <w:trPr>
          <w:trHeight w:val="1235"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左岸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bidi="ar"/>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bidi="ar"/>
              </w:rPr>
              <w:t>2833349.99,559514.15</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bidi="ar"/>
              </w:rPr>
              <w:t>12.91</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16"/>
                <w:szCs w:val="16"/>
              </w:rPr>
            </w:pPr>
            <w:r>
              <w:rPr>
                <w:rFonts w:hint="eastAsia" w:ascii="宋体" w:hAnsi="宋体" w:eastAsia="宋体" w:cs="宋体"/>
                <w:color w:val="000000"/>
                <w:kern w:val="0"/>
                <w:sz w:val="16"/>
                <w:szCs w:val="16"/>
                <w:lang w:bidi="ar"/>
              </w:rPr>
              <w:t>2842676.61,559676.32</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CellMar>
            <w:top w:w="0" w:type="dxa"/>
            <w:left w:w="108" w:type="dxa"/>
            <w:bottom w:w="0" w:type="dxa"/>
            <w:right w:w="108" w:type="dxa"/>
          </w:tblCellMar>
        </w:tblPrEx>
        <w:trPr>
          <w:trHeight w:val="10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右岸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Calibri" w:hAnsi="Calibri" w:eastAsia="宋体" w:cs="宋体"/>
                <w:color w:val="000000"/>
                <w:kern w:val="0"/>
                <w:sz w:val="16"/>
                <w:szCs w:val="16"/>
              </w:rPr>
            </w:pPr>
            <w:r>
              <w:rPr>
                <w:rFonts w:hint="eastAsia" w:ascii="宋体" w:hAnsi="宋体" w:eastAsia="宋体" w:cs="宋体"/>
                <w:color w:val="000000"/>
                <w:kern w:val="0"/>
                <w:sz w:val="16"/>
                <w:szCs w:val="16"/>
                <w:lang w:bidi="ar"/>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Calibri" w:hAnsi="Calibri" w:eastAsia="宋体" w:cs="宋体"/>
                <w:color w:val="000000"/>
                <w:kern w:val="0"/>
                <w:sz w:val="16"/>
                <w:szCs w:val="16"/>
              </w:rPr>
            </w:pPr>
            <w:r>
              <w:rPr>
                <w:rFonts w:hint="eastAsia" w:ascii="宋体" w:hAnsi="宋体" w:eastAsia="宋体" w:cs="宋体"/>
                <w:color w:val="000000"/>
                <w:kern w:val="0"/>
                <w:sz w:val="16"/>
                <w:szCs w:val="16"/>
                <w:lang w:bidi="ar"/>
              </w:rPr>
              <w:t>2833182.52,558867.02</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Calibri" w:hAnsi="Calibri" w:eastAsia="宋体" w:cs="宋体"/>
                <w:color w:val="000000"/>
                <w:kern w:val="0"/>
                <w:sz w:val="16"/>
                <w:szCs w:val="16"/>
              </w:rPr>
            </w:pPr>
            <w:r>
              <w:rPr>
                <w:rFonts w:hint="eastAsia" w:ascii="宋体" w:hAnsi="宋体" w:eastAsia="宋体" w:cs="宋体"/>
                <w:color w:val="000000"/>
                <w:kern w:val="0"/>
                <w:sz w:val="16"/>
                <w:szCs w:val="16"/>
                <w:lang w:bidi="ar"/>
              </w:rPr>
              <w:t>12.91</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Calibri" w:hAnsi="Calibri" w:eastAsia="宋体" w:cs="宋体"/>
                <w:color w:val="000000"/>
                <w:kern w:val="0"/>
                <w:sz w:val="16"/>
                <w:szCs w:val="16"/>
              </w:rPr>
            </w:pPr>
            <w:r>
              <w:rPr>
                <w:rFonts w:ascii="Calibri" w:hAnsi="Calibri" w:eastAsia="宋体" w:cs="Calibri"/>
                <w:color w:val="000000"/>
                <w:kern w:val="0"/>
                <w:sz w:val="16"/>
                <w:szCs w:val="16"/>
                <w:lang w:bidi="ar"/>
              </w:rPr>
              <w:t>284</w:t>
            </w:r>
            <w:r>
              <w:rPr>
                <w:rFonts w:hint="eastAsia" w:ascii="Calibri" w:hAnsi="Calibri" w:eastAsia="宋体" w:cs="Calibri"/>
                <w:color w:val="000000"/>
                <w:kern w:val="0"/>
                <w:sz w:val="16"/>
                <w:szCs w:val="16"/>
                <w:lang w:bidi="ar"/>
              </w:rPr>
              <w:t>2529.92</w:t>
            </w:r>
            <w:r>
              <w:rPr>
                <w:rFonts w:hint="eastAsia" w:ascii="宋体" w:hAnsi="宋体" w:eastAsia="宋体" w:cs="宋体"/>
                <w:color w:val="000000"/>
                <w:kern w:val="0"/>
                <w:sz w:val="16"/>
                <w:szCs w:val="16"/>
                <w:lang w:bidi="ar"/>
              </w:rPr>
              <w:t>,</w:t>
            </w:r>
            <w:r>
              <w:rPr>
                <w:rFonts w:ascii="Calibri" w:hAnsi="Calibri" w:eastAsia="宋体" w:cs="Calibri"/>
                <w:color w:val="000000"/>
                <w:kern w:val="0"/>
                <w:sz w:val="16"/>
                <w:szCs w:val="16"/>
                <w:lang w:bidi="ar"/>
              </w:rPr>
              <w:t>5</w:t>
            </w:r>
            <w:r>
              <w:rPr>
                <w:rFonts w:hint="eastAsia" w:ascii="Calibri" w:hAnsi="Calibri" w:eastAsia="宋体" w:cs="Calibri"/>
                <w:color w:val="000000"/>
                <w:kern w:val="0"/>
                <w:sz w:val="16"/>
                <w:szCs w:val="16"/>
                <w:lang w:bidi="ar"/>
              </w:rPr>
              <w:t>59725.99</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无堤防河段的管理范围根据设计洪水位来划定</w:t>
            </w:r>
          </w:p>
        </w:tc>
      </w:tr>
    </w:tbl>
    <w:p>
      <w:pPr>
        <w:pStyle w:val="3"/>
        <w:ind w:left="0" w:firstLine="0"/>
      </w:pPr>
      <w:bookmarkStart w:id="111" w:name="_Toc15228291"/>
      <w:bookmarkStart w:id="112" w:name="_Toc15233152"/>
      <w:bookmarkStart w:id="113" w:name="_Toc14149"/>
      <w:r>
        <w:rPr>
          <w:rFonts w:hint="eastAsia"/>
        </w:rPr>
        <w:t>其他相关情况说明</w:t>
      </w:r>
      <w:bookmarkEnd w:id="111"/>
      <w:bookmarkEnd w:id="112"/>
      <w:bookmarkEnd w:id="113"/>
    </w:p>
    <w:p>
      <w:pPr>
        <w:rPr>
          <w:b/>
          <w:bCs/>
          <w:sz w:val="32"/>
          <w:szCs w:val="32"/>
        </w:rPr>
      </w:pPr>
      <w:r>
        <w:rPr>
          <w:rFonts w:hint="eastAsia"/>
          <w:b/>
          <w:bCs/>
          <w:sz w:val="32"/>
          <w:szCs w:val="32"/>
        </w:rPr>
        <w:t>6.1划界数学基础标准</w:t>
      </w:r>
    </w:p>
    <w:p>
      <w:pPr>
        <w:pStyle w:val="45"/>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5"/>
        <w:ind w:firstLine="560"/>
      </w:pPr>
      <w:r>
        <w:rPr>
          <w:rFonts w:hint="eastAsia" w:ascii="宋体" w:hAnsi="宋体" w:eastAsia="宋体" w:cs="Times New Roman"/>
        </w:rPr>
        <w:t>高程基准：1985国家高程基</w:t>
      </w:r>
      <w:r>
        <w:rPr>
          <w:rFonts w:hint="eastAsia"/>
        </w:rPr>
        <w:t>准；</w:t>
      </w:r>
    </w:p>
    <w:p>
      <w:pPr>
        <w:rPr>
          <w:b/>
          <w:bCs/>
          <w:sz w:val="32"/>
          <w:szCs w:val="32"/>
        </w:rPr>
      </w:pPr>
      <w:r>
        <w:rPr>
          <w:rFonts w:hint="eastAsia"/>
          <w:b/>
          <w:bCs/>
          <w:sz w:val="32"/>
          <w:szCs w:val="32"/>
        </w:rPr>
        <w:t>6.2划界连线方式</w:t>
      </w:r>
    </w:p>
    <w:p>
      <w:pPr>
        <w:pStyle w:val="45"/>
        <w:ind w:firstLine="560"/>
      </w:pPr>
      <w:r>
        <w:rPr>
          <w:rFonts w:hint="eastAsia"/>
        </w:rPr>
        <w:t>划界连线时，特别是标准不同的划界连线，管理范围线一般采用垂直方式相连，不同类别的岸线应用不同颜色表示。若条件特殊的，应予以具体说明。</w:t>
      </w:r>
    </w:p>
    <w:p>
      <w:pPr>
        <w:rPr>
          <w:b/>
          <w:bCs/>
          <w:sz w:val="32"/>
          <w:szCs w:val="32"/>
        </w:rPr>
      </w:pPr>
      <w:r>
        <w:rPr>
          <w:rFonts w:hint="eastAsia"/>
          <w:b/>
          <w:bCs/>
          <w:sz w:val="32"/>
          <w:szCs w:val="32"/>
        </w:rPr>
        <w:t>6.3河湖划界数据存储格式</w:t>
      </w:r>
    </w:p>
    <w:p>
      <w:pPr>
        <w:pStyle w:val="45"/>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5"/>
        <w:ind w:firstLine="560"/>
      </w:pPr>
      <w:r>
        <w:rPr>
          <w:rFonts w:ascii="宋体" w:hAnsi="宋体" w:eastAsia="宋体" w:cs="Times New Roman"/>
        </w:rPr>
        <w:t>影像数据：采用非压缩 GEOTIFF 格式</w:t>
      </w:r>
      <w:r>
        <w:rPr>
          <w:rFonts w:hint="eastAsia"/>
        </w:rPr>
        <w:t>。</w:t>
      </w:r>
    </w:p>
    <w:p>
      <w:r>
        <w:rPr>
          <w:rFonts w:hint="eastAsia"/>
          <w:b/>
          <w:bCs/>
          <w:sz w:val="32"/>
          <w:szCs w:val="32"/>
        </w:rPr>
        <w:t>6.4管理范围界桩编号</w:t>
      </w:r>
    </w:p>
    <w:p>
      <w:pPr>
        <w:pStyle w:val="45"/>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5"/>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代表跨县河道（湖泊〉管理范围共桩。如FADAFE00000L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表示，宜阳河道县河段左岸第三根非公用界桩。共桩要在各自划界单元中分别编码。当水闸、拦河大坝与河道管理范围一并划定时，可以不用公共界桩区分。</w:t>
      </w:r>
    </w:p>
    <w:p>
      <w:pPr>
        <w:pStyle w:val="45"/>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5"/>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2"/>
        <w:spacing w:line="480" w:lineRule="auto"/>
      </w:pPr>
      <w:r>
        <w:rPr>
          <w:rFonts w:hint="eastAsia"/>
          <w:b/>
          <w:bCs/>
          <w:sz w:val="32"/>
          <w:szCs w:val="32"/>
        </w:rPr>
        <w:t>6.5管理范围告示牌编号</w:t>
      </w:r>
    </w:p>
    <w:p>
      <w:pPr>
        <w:pStyle w:val="45"/>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岸别顺序号”，如FADAFE00000L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1表示，宜阳河道县河段左岸第一座告示牌</w:t>
      </w:r>
      <w:r>
        <w:rPr>
          <w:rFonts w:hint="eastAsia"/>
        </w:rPr>
        <w:t>。</w:t>
      </w:r>
    </w:p>
    <w:p>
      <w:pPr>
        <w:pStyle w:val="2"/>
        <w:spacing w:line="480" w:lineRule="auto"/>
        <w:rPr>
          <w:sz w:val="28"/>
        </w:rPr>
      </w:pPr>
      <w:r>
        <w:rPr>
          <w:rFonts w:hint="eastAsia"/>
          <w:b/>
          <w:bCs/>
          <w:sz w:val="32"/>
          <w:szCs w:val="32"/>
        </w:rPr>
        <w:t>6.6界桩、告示牌制作与埋设</w:t>
      </w:r>
    </w:p>
    <w:p>
      <w:pPr>
        <w:pStyle w:val="5"/>
        <w:numPr>
          <w:ilvl w:val="2"/>
          <w:numId w:val="0"/>
        </w:numPr>
      </w:pPr>
      <w:bookmarkStart w:id="114" w:name="_Toc11272"/>
      <w:bookmarkStart w:id="115" w:name="_Toc3499"/>
      <w:bookmarkStart w:id="116" w:name="_Toc17812"/>
      <w:r>
        <w:rPr>
          <w:rFonts w:hint="eastAsia"/>
        </w:rPr>
        <w:t>6.6.1界桩制作</w:t>
      </w:r>
      <w:bookmarkEnd w:id="114"/>
      <w:bookmarkEnd w:id="115"/>
      <w:bookmarkEnd w:id="116"/>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按照统一的技术规格制作管理范围界桩（牌）的制作可以采取预制或者现场浇筑两种方式</w:t>
      </w:r>
      <w:r>
        <w:rPr>
          <w:rFonts w:hint="eastAsia" w:ascii="宋体" w:hAnsi="宋体" w:eastAsia="宋体"/>
          <w:sz w:val="24"/>
          <w:szCs w:val="24"/>
        </w:rPr>
        <w:t>。</w:t>
      </w:r>
    </w:p>
    <w:p>
      <w:pPr>
        <w:pStyle w:val="5"/>
        <w:numPr>
          <w:ilvl w:val="2"/>
          <w:numId w:val="0"/>
        </w:numPr>
      </w:pPr>
      <w:bookmarkStart w:id="117" w:name="_Toc21207"/>
      <w:bookmarkStart w:id="118" w:name="_Toc22554"/>
      <w:bookmarkStart w:id="119" w:name="_Toc8766"/>
      <w:r>
        <w:rPr>
          <w:rFonts w:hint="eastAsia"/>
        </w:rPr>
        <w:t>6.6.2界桩埋设</w:t>
      </w:r>
      <w:bookmarkEnd w:id="117"/>
      <w:bookmarkEnd w:id="118"/>
      <w:bookmarkEnd w:id="119"/>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120" w:name="_Toc1470"/>
      <w:bookmarkStart w:id="121" w:name="_Toc31562"/>
      <w:bookmarkStart w:id="122" w:name="_Toc2074"/>
      <w:r>
        <w:rPr>
          <w:rFonts w:hint="eastAsia"/>
        </w:rPr>
        <w:t>6.6.3告示牌制作</w:t>
      </w:r>
      <w:bookmarkEnd w:id="120"/>
      <w:bookmarkEnd w:id="121"/>
      <w:bookmarkEnd w:id="122"/>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123" w:name="_Toc28479"/>
      <w:bookmarkStart w:id="124" w:name="_Toc8607"/>
      <w:bookmarkStart w:id="125" w:name="_Toc16249"/>
      <w:r>
        <w:rPr>
          <w:rFonts w:hint="eastAsia"/>
        </w:rPr>
        <w:t>6.6.4告示牌埋设</w:t>
      </w:r>
      <w:bookmarkEnd w:id="123"/>
      <w:bookmarkEnd w:id="124"/>
      <w:bookmarkEnd w:id="125"/>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2"/>
        <w:spacing w:line="480" w:lineRule="auto"/>
        <w:rPr>
          <w:b/>
          <w:bCs/>
          <w:sz w:val="32"/>
          <w:szCs w:val="32"/>
        </w:rPr>
      </w:pPr>
      <w:bookmarkStart w:id="126" w:name="_Toc3541109"/>
      <w:r>
        <w:rPr>
          <w:rFonts w:hint="eastAsia"/>
          <w:b/>
          <w:bCs/>
          <w:sz w:val="32"/>
          <w:szCs w:val="32"/>
        </w:rPr>
        <w:t>6.7界桩和告示牌位置采集</w:t>
      </w:r>
      <w:bookmarkEnd w:id="126"/>
    </w:p>
    <w:p>
      <w:pPr>
        <w:pStyle w:val="45"/>
        <w:ind w:firstLine="560"/>
        <w:rPr>
          <w:rFonts w:ascii="宋体" w:hAnsi="宋体" w:eastAsia="宋体" w:cs="宋体"/>
        </w:rPr>
        <w:sectPr>
          <w:footerReference r:id="rId5"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ascii="宋体" w:hAnsi="宋体" w:eastAsia="宋体" w:cs="宋体"/>
        </w:rPr>
        <w:t>。</w:t>
      </w:r>
    </w:p>
    <w:p>
      <w:pPr>
        <w:pStyle w:val="3"/>
        <w:ind w:left="0" w:firstLine="0"/>
        <w:rPr>
          <w:sz w:val="28"/>
        </w:rPr>
      </w:pPr>
      <w:bookmarkStart w:id="127" w:name="_Toc16291"/>
      <w:bookmarkStart w:id="128" w:name="_Toc4664"/>
      <w:r>
        <w:rPr>
          <w:rFonts w:hint="eastAsia"/>
        </w:rPr>
        <w:t>附件</w:t>
      </w:r>
      <w:bookmarkEnd w:id="127"/>
      <w:bookmarkEnd w:id="128"/>
    </w:p>
    <w:p>
      <w:pPr>
        <w:rPr>
          <w:b/>
          <w:sz w:val="28"/>
        </w:rPr>
      </w:pPr>
      <w:r>
        <w:rPr>
          <w:rFonts w:hint="eastAsia"/>
          <w:b/>
          <w:sz w:val="28"/>
        </w:rPr>
        <w:t>附表  宜阳河道县河段管理范围界桩成果表</w:t>
      </w:r>
    </w:p>
    <w:tbl>
      <w:tblPr>
        <w:tblStyle w:val="22"/>
        <w:tblW w:w="8271" w:type="dxa"/>
        <w:tblInd w:w="0" w:type="dxa"/>
        <w:tblLayout w:type="fixed"/>
        <w:tblCellMar>
          <w:top w:w="0" w:type="dxa"/>
          <w:left w:w="0" w:type="dxa"/>
          <w:bottom w:w="0" w:type="dxa"/>
          <w:right w:w="0" w:type="dxa"/>
        </w:tblCellMar>
      </w:tblPr>
      <w:tblGrid>
        <w:gridCol w:w="555"/>
        <w:gridCol w:w="3786"/>
        <w:gridCol w:w="1410"/>
        <w:gridCol w:w="1284"/>
        <w:gridCol w:w="1236"/>
      </w:tblGrid>
      <w:tr>
        <w:tblPrEx>
          <w:tblCellMar>
            <w:top w:w="0" w:type="dxa"/>
            <w:left w:w="0" w:type="dxa"/>
            <w:bottom w:w="0" w:type="dxa"/>
            <w:right w:w="0" w:type="dxa"/>
          </w:tblCellMar>
        </w:tblPrEx>
        <w:trPr>
          <w:trHeight w:val="300" w:hRule="atLeast"/>
          <w:tblHeader/>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78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桩名（编号）</w:t>
            </w:r>
          </w:p>
        </w:tc>
        <w:tc>
          <w:tcPr>
            <w:tcW w:w="2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2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70" w:hRule="atLeast"/>
          <w:tblHeader/>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378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2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FE1D1E00000L-431124-L1026</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559513.50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2833349.94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FE1D1E00000L-431124-L1027</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558875.96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2833129.23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FE1D1EE0000L-431124-R4034</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559725.99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2842529.92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FE1D1EE0000L-431124-L4035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559676.32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Theme="minorEastAsia" w:hAnsiTheme="minorEastAsia" w:cstheme="minorEastAsia"/>
                <w:color w:val="000000"/>
                <w:kern w:val="0"/>
                <w:sz w:val="22"/>
                <w:lang w:bidi="ar"/>
              </w:rPr>
            </w:pPr>
            <w:r>
              <w:rPr>
                <w:rFonts w:asciiTheme="minorEastAsia" w:hAnsiTheme="minorEastAsia" w:cstheme="minorEastAsia"/>
                <w:color w:val="000000"/>
                <w:kern w:val="0"/>
                <w:sz w:val="22"/>
                <w:lang w:bidi="ar"/>
              </w:rPr>
              <w:t xml:space="preserve">2842676.61 </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559284.00</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2833391.61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6</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559163.77</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2833545.30</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7</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558741.08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2833758.79</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8</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FE1D1EE0000L-431124-L0004</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558658.51</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2834104.83</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9</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558372.53</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2834393.68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10</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FE1D1EE0000L-431124-L0006</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558169.99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2834589.34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FE1D1EE0000L-431124-L0007</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557852.86</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2834884.95</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12</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557596.86</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2835295.79</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13</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FE1D1EE0000L-431124-L0009</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557602.18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2835559.89</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14</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557666.57</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2836075.13</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15</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557736.74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2836528.61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16</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557835.32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2837127.78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17</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558316.97</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2837076.55</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18</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FE1D1EE0000L-431124-L0014</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558611.19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2837698.85</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19</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559703.24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2838248.24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20</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FE1D1EE0000L-431124-L0016</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559192.59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2838482.00</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FE1D1EE0000L-431124-L0017</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558871.18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2838088.78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22</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558515.10</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2838746.42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23</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FE1D1EE0000L-431124-L0019</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558319.26</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2839120.78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24</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558407.04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2839451.79</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25</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558355.31</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2839757.99</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26</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558497.06</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2840072.37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27</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558860.12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2840471.51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28</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FE1D1EE0000L-431124-L0024</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559137.63</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2840419.77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29</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559647.12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2840426.26</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30</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FE1D1EE0000L-431124-L0026</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559902.67</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2840448.54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FE1D1EE0000L-431124-L0027</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560037.18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2840662.19</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32</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560033.94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2840848.57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33</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FE1D1EE0000L-431124-L0029</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560273.39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2841029.28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34</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FE1D1EE0000L-431124-L0030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560078.65</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2841077.97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35</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FE1D1EE0000L-431124-L0031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560059.15</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2841270.57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36</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FE1D1EE0000L-431124-L0032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559870.38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2841198.87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37</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FE1D1EE0000L-431124-L0033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559667.54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2841760.05</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38</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FE1D1EE0000L-431124-L0034</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559760.67</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2842578.93</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39</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558867.02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2833182.52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40</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558785.19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2833330.37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558665.22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2833578.02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42</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FE1D1EE0000L-431124-R0004</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558332.42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2833847.00</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43</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557885.86</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2834337.41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44</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FE1D1EE0000L-431124-R0006</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557617.35</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2834579.65</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45</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FE1D1EE0000L-431124-R0007</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557491.68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2834815.33</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46</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557394.24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2834987.62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47</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FE1D1EE0000L-431124-R0009</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557392.20</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2835327.24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48</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557449.21</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2835569.21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49</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557638.75</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2836072.70</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50</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557697.69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2836460.35</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557791.41</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2837061.82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52</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FE1D1EE0000L-431124-R0014</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557500.91</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2837133.22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53</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557483.49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2837555.46</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54</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FE1D1EE0000L-431124-R0016</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557529.65</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2838036.74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55</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FE1D1EE0000L-431124-R0017</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557874.64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2838697.82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56</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557953.92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2839299.98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57</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FE1D1EE0000L-431124-R0019</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557932.76</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2839589.54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58</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558131.51</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2839807.88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59</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558191.90</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2840138.84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60</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558486.02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2840431.82</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61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558879.44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2840492.31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sz w:val="22"/>
              </w:rPr>
            </w:pPr>
            <w:r>
              <w:rPr>
                <w:rFonts w:hint="eastAsia" w:asciiTheme="minorEastAsia" w:hAnsiTheme="minorEastAsia" w:cstheme="minorEastAsia"/>
                <w:color w:val="000000"/>
                <w:kern w:val="0"/>
                <w:sz w:val="22"/>
                <w:lang w:bidi="ar"/>
              </w:rPr>
              <w:t>62</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FE1D1EE0000L-431124-R0024</w:t>
            </w:r>
            <w:bookmarkStart w:id="129" w:name="_GoBack"/>
            <w:bookmarkEnd w:id="129"/>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559002.11</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2840394.43</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63</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FE1D1EE0000L-431124-R0025</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559229.07</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2840583.09</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64</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FE1D1EE0000L-431124-R0026</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559445.65</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2840467.46</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65</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FE1D1EE0000L-431124-R0027</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559500.03</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2840680.93</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66</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559935.39</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2841117.91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67</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FE1D1EE0000L-431124-R0029</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559709.77</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2841166.71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68</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FE1D1EE0000L-431124-R0030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559517.68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2841423.88</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69</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FE1D1EE0000L-431124-R0031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559124.62</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2841165.54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70</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FE1D1EE0000L-431124-R0032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559475.78</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2841863.77</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rPr>
            </w:pPr>
            <w:r>
              <w:rPr>
                <w:rFonts w:hint="eastAsia" w:asciiTheme="minorEastAsia" w:hAnsiTheme="minorEastAsia" w:cstheme="minorEastAsia"/>
                <w:color w:val="000000"/>
                <w:kern w:val="0"/>
                <w:sz w:val="22"/>
                <w:lang w:bidi="ar"/>
              </w:rPr>
              <w:t>71</w:t>
            </w:r>
          </w:p>
        </w:tc>
        <w:tc>
          <w:tcPr>
            <w:tcW w:w="3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FE1D1EE0000L-431124-R0033</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559787.54</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Theme="minorEastAsia" w:hAnsiTheme="minorEastAsia" w:cstheme="minorEastAsia"/>
                <w:color w:val="000000"/>
                <w:kern w:val="0"/>
                <w:sz w:val="22"/>
                <w:lang w:bidi="ar"/>
              </w:rPr>
            </w:pPr>
            <w:r>
              <w:rPr>
                <w:rFonts w:hint="default" w:ascii="Arial" w:hAnsi="Arial" w:eastAsia="宋体" w:cs="Arial"/>
                <w:i w:val="0"/>
                <w:iCs w:val="0"/>
                <w:color w:val="000000"/>
                <w:kern w:val="0"/>
                <w:sz w:val="20"/>
                <w:szCs w:val="20"/>
                <w:u w:val="none"/>
                <w:lang w:val="en-US" w:eastAsia="zh-CN" w:bidi="ar"/>
              </w:rPr>
              <w:t>2842427.46</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heme="minorEastAsia" w:hAnsiTheme="minorEastAsia" w:cstheme="minorEastAsia"/>
                <w:color w:val="000000"/>
                <w:kern w:val="0"/>
                <w:sz w:val="22"/>
                <w:lang w:bidi="ar"/>
              </w:rPr>
            </w:pPr>
            <w:r>
              <w:rPr>
                <w:rFonts w:hint="eastAsia" w:asciiTheme="minorEastAsia" w:hAnsiTheme="minorEastAsia" w:cstheme="minorEastAsia"/>
                <w:color w:val="000000"/>
                <w:kern w:val="0"/>
                <w:sz w:val="22"/>
                <w:lang w:bidi="ar"/>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firstLineChars="200"/>
        <w:rPr>
          <w:rFonts w:ascii="Times New Roman" w:hAnsi="Times New Roman"/>
          <w:szCs w:val="21"/>
        </w:rPr>
      </w:pPr>
      <w:r>
        <w:rPr>
          <w:rFonts w:ascii="Times New Roman" w:hAnsi="Times New Roman"/>
          <w:szCs w:val="21"/>
        </w:rPr>
        <w:t>高程系统：1985国家高程基准</w:t>
      </w:r>
    </w:p>
    <w:p>
      <w:pPr>
        <w:ind w:firstLine="420" w:firstLineChars="200"/>
        <w:rPr>
          <w:rFonts w:ascii="Times New Roman" w:hAnsi="Times New Roman"/>
          <w:szCs w:val="21"/>
        </w:rPr>
      </w:pPr>
    </w:p>
    <w:p>
      <w:pPr>
        <w:rPr>
          <w:b/>
          <w:sz w:val="28"/>
        </w:rPr>
      </w:pPr>
      <w:r>
        <w:rPr>
          <w:rFonts w:hint="eastAsia"/>
          <w:b/>
          <w:sz w:val="28"/>
        </w:rPr>
        <w:t>附表  宜阳河道县河段告示牌成果表</w:t>
      </w:r>
    </w:p>
    <w:tbl>
      <w:tblPr>
        <w:tblStyle w:val="22"/>
        <w:tblW w:w="8541" w:type="dxa"/>
        <w:jc w:val="center"/>
        <w:tblLayout w:type="fixed"/>
        <w:tblCellMar>
          <w:top w:w="0" w:type="dxa"/>
          <w:left w:w="0" w:type="dxa"/>
          <w:bottom w:w="0" w:type="dxa"/>
          <w:right w:w="0" w:type="dxa"/>
        </w:tblCellMar>
      </w:tblPr>
      <w:tblGrid>
        <w:gridCol w:w="615"/>
        <w:gridCol w:w="3390"/>
        <w:gridCol w:w="1791"/>
        <w:gridCol w:w="1650"/>
        <w:gridCol w:w="1095"/>
      </w:tblGrid>
      <w:tr>
        <w:tblPrEx>
          <w:tblCellMar>
            <w:top w:w="0" w:type="dxa"/>
            <w:left w:w="0" w:type="dxa"/>
            <w:bottom w:w="0" w:type="dxa"/>
            <w:right w:w="0" w:type="dxa"/>
          </w:tblCellMar>
        </w:tblPrEx>
        <w:trPr>
          <w:trHeight w:val="342" w:hRule="atLeast"/>
          <w:tblHeader/>
          <w:jc w:val="center"/>
        </w:trPr>
        <w:tc>
          <w:tcPr>
            <w:tcW w:w="615"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39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告示牌（编号）</w:t>
            </w:r>
          </w:p>
        </w:tc>
        <w:tc>
          <w:tcPr>
            <w:tcW w:w="344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095"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85" w:hRule="atLeast"/>
          <w:tblHeader/>
          <w:jc w:val="center"/>
        </w:trPr>
        <w:tc>
          <w:tcPr>
            <w:tcW w:w="615"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339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095"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FE1D1EE0000L-431124-L001</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2833274.44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559244.28</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FE1D1EE0000L-431124-L002</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2834623.44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557798.81</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FE1D1EE0000L-431124-L003</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2835658.57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557623.27</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FE1D1EE0000L-431124-L004</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2840394.13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558884.92</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FE1D1EE0000L-431124-L005</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2840675.33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559946.10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FE1D1EE0000L-431124-R001</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2836471.13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557677.08</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FE1D1EE0000L-431124-R002</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2841137.33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559903.49</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jc w:val="center"/>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FE1D1EE0000L-431124-R003</w:t>
            </w:r>
          </w:p>
        </w:tc>
        <w:tc>
          <w:tcPr>
            <w:tcW w:w="17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2842454.86 </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559775.18</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bl>
    <w:p>
      <w:pPr>
        <w:jc w:val="left"/>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jc w:val="left"/>
        <w:rPr>
          <w:rFonts w:ascii="Times New Roman" w:hAnsi="Times New Roman"/>
          <w:szCs w:val="21"/>
        </w:rPr>
        <w:sectPr>
          <w:pgSz w:w="11906" w:h="16838"/>
          <w:pgMar w:top="1440" w:right="1800" w:bottom="1440" w:left="1800" w:header="851" w:footer="992" w:gutter="0"/>
          <w:cols w:space="425" w:num="1"/>
          <w:docGrid w:type="lines" w:linePitch="312" w:charSpace="0"/>
        </w:sectPr>
      </w:pPr>
      <w:r>
        <w:rPr>
          <w:rFonts w:ascii="Times New Roman" w:hAnsi="Times New Roman"/>
          <w:szCs w:val="21"/>
        </w:rPr>
        <w:t>高程系统：1985国家高程基准</w:t>
      </w:r>
    </w:p>
    <w:p>
      <w:pPr>
        <w:jc w:val="left"/>
        <w:rPr>
          <w:b/>
          <w:sz w:val="28"/>
        </w:rPr>
      </w:pPr>
      <w:r>
        <w:rPr>
          <w:rFonts w:hint="eastAsia"/>
          <w:b/>
          <w:sz w:val="28"/>
        </w:rPr>
        <w:t>附图  宜阳河道县河段管理范围线划定图册</w:t>
      </w:r>
    </w:p>
    <w:p>
      <w:pPr>
        <w:jc w:val="left"/>
        <w:rPr>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6"/>
          <w:jc w:val="center"/>
        </w:pPr>
        <w:r>
          <w:fldChar w:fldCharType="begin"/>
        </w:r>
        <w:r>
          <w:instrText xml:space="preserve">PAGE   \* MERGEFORMAT</w:instrText>
        </w:r>
        <w:r>
          <w:fldChar w:fldCharType="separate"/>
        </w:r>
        <w:r>
          <w:rPr>
            <w:lang w:val="zh-CN"/>
          </w:rPr>
          <w:t>32</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14C7"/>
    <w:rsid w:val="000320D1"/>
    <w:rsid w:val="000324E2"/>
    <w:rsid w:val="00034C70"/>
    <w:rsid w:val="000369C8"/>
    <w:rsid w:val="00040049"/>
    <w:rsid w:val="00043B5F"/>
    <w:rsid w:val="00046C27"/>
    <w:rsid w:val="00054DFA"/>
    <w:rsid w:val="000555D1"/>
    <w:rsid w:val="00060699"/>
    <w:rsid w:val="0006574C"/>
    <w:rsid w:val="000667D1"/>
    <w:rsid w:val="00070A98"/>
    <w:rsid w:val="000732C1"/>
    <w:rsid w:val="00076461"/>
    <w:rsid w:val="000838DB"/>
    <w:rsid w:val="00087254"/>
    <w:rsid w:val="000902C5"/>
    <w:rsid w:val="000B0F74"/>
    <w:rsid w:val="000B1D9F"/>
    <w:rsid w:val="000B3A7D"/>
    <w:rsid w:val="000B6456"/>
    <w:rsid w:val="000B7B3B"/>
    <w:rsid w:val="000C076C"/>
    <w:rsid w:val="000C174E"/>
    <w:rsid w:val="000C4C71"/>
    <w:rsid w:val="000C59D4"/>
    <w:rsid w:val="000D25BA"/>
    <w:rsid w:val="000D450F"/>
    <w:rsid w:val="000D5923"/>
    <w:rsid w:val="000E1747"/>
    <w:rsid w:val="000E1763"/>
    <w:rsid w:val="000E4BBE"/>
    <w:rsid w:val="000F0260"/>
    <w:rsid w:val="000F51FB"/>
    <w:rsid w:val="00101187"/>
    <w:rsid w:val="00101921"/>
    <w:rsid w:val="00103745"/>
    <w:rsid w:val="001037B8"/>
    <w:rsid w:val="001112F7"/>
    <w:rsid w:val="00111F1A"/>
    <w:rsid w:val="00112781"/>
    <w:rsid w:val="001137DF"/>
    <w:rsid w:val="00114E7D"/>
    <w:rsid w:val="00115DD2"/>
    <w:rsid w:val="00115EBB"/>
    <w:rsid w:val="001219C5"/>
    <w:rsid w:val="00122842"/>
    <w:rsid w:val="00123ACA"/>
    <w:rsid w:val="00132840"/>
    <w:rsid w:val="00134495"/>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86E24"/>
    <w:rsid w:val="00192E0F"/>
    <w:rsid w:val="00193C12"/>
    <w:rsid w:val="0019595C"/>
    <w:rsid w:val="0019688B"/>
    <w:rsid w:val="001A01D3"/>
    <w:rsid w:val="001A3F7B"/>
    <w:rsid w:val="001A645B"/>
    <w:rsid w:val="001B0D97"/>
    <w:rsid w:val="001B1A28"/>
    <w:rsid w:val="001B41A2"/>
    <w:rsid w:val="001C0D00"/>
    <w:rsid w:val="001C6BA6"/>
    <w:rsid w:val="001D351B"/>
    <w:rsid w:val="001D37F5"/>
    <w:rsid w:val="001D7094"/>
    <w:rsid w:val="001E54C1"/>
    <w:rsid w:val="001E5770"/>
    <w:rsid w:val="001E68A7"/>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40932"/>
    <w:rsid w:val="00240A6C"/>
    <w:rsid w:val="00241480"/>
    <w:rsid w:val="00242623"/>
    <w:rsid w:val="00245C1D"/>
    <w:rsid w:val="00245E22"/>
    <w:rsid w:val="00246760"/>
    <w:rsid w:val="002470D2"/>
    <w:rsid w:val="0025026D"/>
    <w:rsid w:val="00253505"/>
    <w:rsid w:val="00257A48"/>
    <w:rsid w:val="0026479A"/>
    <w:rsid w:val="00276864"/>
    <w:rsid w:val="00281C0A"/>
    <w:rsid w:val="00283604"/>
    <w:rsid w:val="00287D74"/>
    <w:rsid w:val="002923A4"/>
    <w:rsid w:val="002923C8"/>
    <w:rsid w:val="00295A27"/>
    <w:rsid w:val="0029621A"/>
    <w:rsid w:val="002A054B"/>
    <w:rsid w:val="002A070D"/>
    <w:rsid w:val="002A5DF2"/>
    <w:rsid w:val="002A7603"/>
    <w:rsid w:val="002B0011"/>
    <w:rsid w:val="002B0D29"/>
    <w:rsid w:val="002B20C1"/>
    <w:rsid w:val="002B26FC"/>
    <w:rsid w:val="002B2EA0"/>
    <w:rsid w:val="002B6BF2"/>
    <w:rsid w:val="002B776E"/>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B6E5C"/>
    <w:rsid w:val="003C3073"/>
    <w:rsid w:val="003C7E77"/>
    <w:rsid w:val="003D1B0B"/>
    <w:rsid w:val="003D1FD7"/>
    <w:rsid w:val="003D28E6"/>
    <w:rsid w:val="003D3FE6"/>
    <w:rsid w:val="003D4DCD"/>
    <w:rsid w:val="003D7053"/>
    <w:rsid w:val="003E2761"/>
    <w:rsid w:val="003E2C93"/>
    <w:rsid w:val="003E550F"/>
    <w:rsid w:val="003E5688"/>
    <w:rsid w:val="003E6577"/>
    <w:rsid w:val="003F05C0"/>
    <w:rsid w:val="003F3EF9"/>
    <w:rsid w:val="003F5F11"/>
    <w:rsid w:val="0040091C"/>
    <w:rsid w:val="00400AA9"/>
    <w:rsid w:val="004038F9"/>
    <w:rsid w:val="0041245F"/>
    <w:rsid w:val="004133B6"/>
    <w:rsid w:val="00415D1D"/>
    <w:rsid w:val="00421D5D"/>
    <w:rsid w:val="00421F9F"/>
    <w:rsid w:val="00423D0F"/>
    <w:rsid w:val="00425073"/>
    <w:rsid w:val="00425EC6"/>
    <w:rsid w:val="00433C7C"/>
    <w:rsid w:val="00437C7D"/>
    <w:rsid w:val="00443758"/>
    <w:rsid w:val="004441F3"/>
    <w:rsid w:val="004500FD"/>
    <w:rsid w:val="00450764"/>
    <w:rsid w:val="00454408"/>
    <w:rsid w:val="0045607E"/>
    <w:rsid w:val="004607A5"/>
    <w:rsid w:val="00460A6E"/>
    <w:rsid w:val="00460DF3"/>
    <w:rsid w:val="00461D14"/>
    <w:rsid w:val="0047152D"/>
    <w:rsid w:val="00475E2F"/>
    <w:rsid w:val="00476400"/>
    <w:rsid w:val="00480CF9"/>
    <w:rsid w:val="0048470E"/>
    <w:rsid w:val="0049219A"/>
    <w:rsid w:val="00493CDE"/>
    <w:rsid w:val="004A178A"/>
    <w:rsid w:val="004A6341"/>
    <w:rsid w:val="004A706E"/>
    <w:rsid w:val="004B1F38"/>
    <w:rsid w:val="004B2ABB"/>
    <w:rsid w:val="004B30B6"/>
    <w:rsid w:val="004C04FF"/>
    <w:rsid w:val="004C24F8"/>
    <w:rsid w:val="004C3B01"/>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6C08"/>
    <w:rsid w:val="00530A47"/>
    <w:rsid w:val="005316BC"/>
    <w:rsid w:val="00531CD4"/>
    <w:rsid w:val="00533744"/>
    <w:rsid w:val="00542DEB"/>
    <w:rsid w:val="00546250"/>
    <w:rsid w:val="00551C7F"/>
    <w:rsid w:val="005524E4"/>
    <w:rsid w:val="0055392B"/>
    <w:rsid w:val="00564C2E"/>
    <w:rsid w:val="00566E92"/>
    <w:rsid w:val="00570131"/>
    <w:rsid w:val="005732E0"/>
    <w:rsid w:val="005748FF"/>
    <w:rsid w:val="005755E3"/>
    <w:rsid w:val="0057645B"/>
    <w:rsid w:val="005767F0"/>
    <w:rsid w:val="00580C57"/>
    <w:rsid w:val="0058295B"/>
    <w:rsid w:val="0058380E"/>
    <w:rsid w:val="005840EF"/>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2E32"/>
    <w:rsid w:val="005C3DED"/>
    <w:rsid w:val="005C4DE5"/>
    <w:rsid w:val="005C55EF"/>
    <w:rsid w:val="005D0281"/>
    <w:rsid w:val="005D098C"/>
    <w:rsid w:val="005D0F4C"/>
    <w:rsid w:val="005D146C"/>
    <w:rsid w:val="005D22DA"/>
    <w:rsid w:val="005D2500"/>
    <w:rsid w:val="005D2587"/>
    <w:rsid w:val="005D33F2"/>
    <w:rsid w:val="005D7618"/>
    <w:rsid w:val="005E2873"/>
    <w:rsid w:val="005E2DB4"/>
    <w:rsid w:val="005E3B84"/>
    <w:rsid w:val="005E58AD"/>
    <w:rsid w:val="005E7FC9"/>
    <w:rsid w:val="005F04BE"/>
    <w:rsid w:val="005F2A83"/>
    <w:rsid w:val="005F3266"/>
    <w:rsid w:val="005F37E9"/>
    <w:rsid w:val="005F3DD4"/>
    <w:rsid w:val="005F4EBD"/>
    <w:rsid w:val="006034C8"/>
    <w:rsid w:val="0060744A"/>
    <w:rsid w:val="006075AB"/>
    <w:rsid w:val="006076FE"/>
    <w:rsid w:val="00607815"/>
    <w:rsid w:val="00610FF3"/>
    <w:rsid w:val="00611A94"/>
    <w:rsid w:val="0062331A"/>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4968"/>
    <w:rsid w:val="00692554"/>
    <w:rsid w:val="00693833"/>
    <w:rsid w:val="00693990"/>
    <w:rsid w:val="00694AAF"/>
    <w:rsid w:val="00695E5D"/>
    <w:rsid w:val="00697327"/>
    <w:rsid w:val="006A138E"/>
    <w:rsid w:val="006A740B"/>
    <w:rsid w:val="006B23C4"/>
    <w:rsid w:val="006B5667"/>
    <w:rsid w:val="006C1871"/>
    <w:rsid w:val="006C41CD"/>
    <w:rsid w:val="006D30A0"/>
    <w:rsid w:val="006D4404"/>
    <w:rsid w:val="006D475A"/>
    <w:rsid w:val="006D5609"/>
    <w:rsid w:val="006D701C"/>
    <w:rsid w:val="006E41D4"/>
    <w:rsid w:val="006E5FB0"/>
    <w:rsid w:val="006E6F3F"/>
    <w:rsid w:val="006F1E97"/>
    <w:rsid w:val="006F22F4"/>
    <w:rsid w:val="006F3831"/>
    <w:rsid w:val="006F3856"/>
    <w:rsid w:val="006F406E"/>
    <w:rsid w:val="006F45C2"/>
    <w:rsid w:val="006F59AE"/>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1B9C"/>
    <w:rsid w:val="00762257"/>
    <w:rsid w:val="0076664D"/>
    <w:rsid w:val="0077334E"/>
    <w:rsid w:val="00774FB8"/>
    <w:rsid w:val="007867E3"/>
    <w:rsid w:val="00793F3D"/>
    <w:rsid w:val="007951AC"/>
    <w:rsid w:val="007967E8"/>
    <w:rsid w:val="00796952"/>
    <w:rsid w:val="007A1AEC"/>
    <w:rsid w:val="007A355F"/>
    <w:rsid w:val="007A4590"/>
    <w:rsid w:val="007B1DF1"/>
    <w:rsid w:val="007B2355"/>
    <w:rsid w:val="007B383A"/>
    <w:rsid w:val="007B442C"/>
    <w:rsid w:val="007B7600"/>
    <w:rsid w:val="007C14AE"/>
    <w:rsid w:val="007C1A1F"/>
    <w:rsid w:val="007C315D"/>
    <w:rsid w:val="007C4603"/>
    <w:rsid w:val="007C7900"/>
    <w:rsid w:val="007D0135"/>
    <w:rsid w:val="007D61FF"/>
    <w:rsid w:val="007E090F"/>
    <w:rsid w:val="007E0A1D"/>
    <w:rsid w:val="007E5534"/>
    <w:rsid w:val="007E5C08"/>
    <w:rsid w:val="007E65D6"/>
    <w:rsid w:val="007E708F"/>
    <w:rsid w:val="007F783F"/>
    <w:rsid w:val="007F7ACA"/>
    <w:rsid w:val="008009CA"/>
    <w:rsid w:val="0080270E"/>
    <w:rsid w:val="00805845"/>
    <w:rsid w:val="008100C6"/>
    <w:rsid w:val="0081610F"/>
    <w:rsid w:val="00820D13"/>
    <w:rsid w:val="008235D8"/>
    <w:rsid w:val="00830BF8"/>
    <w:rsid w:val="00830BFD"/>
    <w:rsid w:val="00832134"/>
    <w:rsid w:val="008336CC"/>
    <w:rsid w:val="00833BF0"/>
    <w:rsid w:val="00833C16"/>
    <w:rsid w:val="008369F4"/>
    <w:rsid w:val="008371E6"/>
    <w:rsid w:val="00837CB2"/>
    <w:rsid w:val="00840434"/>
    <w:rsid w:val="00841071"/>
    <w:rsid w:val="00845644"/>
    <w:rsid w:val="00845A39"/>
    <w:rsid w:val="00850144"/>
    <w:rsid w:val="0085186E"/>
    <w:rsid w:val="00852ADC"/>
    <w:rsid w:val="00854618"/>
    <w:rsid w:val="008552F1"/>
    <w:rsid w:val="00860500"/>
    <w:rsid w:val="0086128D"/>
    <w:rsid w:val="00861DD2"/>
    <w:rsid w:val="008632C0"/>
    <w:rsid w:val="00863A67"/>
    <w:rsid w:val="00864341"/>
    <w:rsid w:val="00873257"/>
    <w:rsid w:val="00873746"/>
    <w:rsid w:val="00881A7B"/>
    <w:rsid w:val="008947C1"/>
    <w:rsid w:val="00895439"/>
    <w:rsid w:val="00895545"/>
    <w:rsid w:val="008A3CFD"/>
    <w:rsid w:val="008A4840"/>
    <w:rsid w:val="008A54B7"/>
    <w:rsid w:val="008A6421"/>
    <w:rsid w:val="008A6581"/>
    <w:rsid w:val="008B1E82"/>
    <w:rsid w:val="008B2870"/>
    <w:rsid w:val="008B5B00"/>
    <w:rsid w:val="008C18B1"/>
    <w:rsid w:val="008C2E79"/>
    <w:rsid w:val="008C3919"/>
    <w:rsid w:val="008D3E02"/>
    <w:rsid w:val="008D6B7F"/>
    <w:rsid w:val="008D6D6D"/>
    <w:rsid w:val="008E0E68"/>
    <w:rsid w:val="008E15E4"/>
    <w:rsid w:val="008E1E56"/>
    <w:rsid w:val="008E2F08"/>
    <w:rsid w:val="008E5811"/>
    <w:rsid w:val="008E5DC6"/>
    <w:rsid w:val="008E6894"/>
    <w:rsid w:val="008E7701"/>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72088"/>
    <w:rsid w:val="00975CC3"/>
    <w:rsid w:val="009767BB"/>
    <w:rsid w:val="00976D12"/>
    <w:rsid w:val="00977700"/>
    <w:rsid w:val="00977A34"/>
    <w:rsid w:val="009911E1"/>
    <w:rsid w:val="00993519"/>
    <w:rsid w:val="00996C09"/>
    <w:rsid w:val="009973AC"/>
    <w:rsid w:val="009A02FD"/>
    <w:rsid w:val="009A251A"/>
    <w:rsid w:val="009A27B0"/>
    <w:rsid w:val="009A4A19"/>
    <w:rsid w:val="009D4D6A"/>
    <w:rsid w:val="009D4F82"/>
    <w:rsid w:val="009D6AF0"/>
    <w:rsid w:val="009E18C9"/>
    <w:rsid w:val="009E1EC3"/>
    <w:rsid w:val="009E377C"/>
    <w:rsid w:val="009E4170"/>
    <w:rsid w:val="009E606A"/>
    <w:rsid w:val="009E6FA5"/>
    <w:rsid w:val="009F27DD"/>
    <w:rsid w:val="009F3802"/>
    <w:rsid w:val="009F4C13"/>
    <w:rsid w:val="009F7FA5"/>
    <w:rsid w:val="00A00042"/>
    <w:rsid w:val="00A014E3"/>
    <w:rsid w:val="00A0524D"/>
    <w:rsid w:val="00A07430"/>
    <w:rsid w:val="00A13955"/>
    <w:rsid w:val="00A16FC5"/>
    <w:rsid w:val="00A26A44"/>
    <w:rsid w:val="00A30DB1"/>
    <w:rsid w:val="00A33982"/>
    <w:rsid w:val="00A33F3C"/>
    <w:rsid w:val="00A35DE0"/>
    <w:rsid w:val="00A3668D"/>
    <w:rsid w:val="00A446AF"/>
    <w:rsid w:val="00A503FB"/>
    <w:rsid w:val="00A50F24"/>
    <w:rsid w:val="00A53268"/>
    <w:rsid w:val="00A53678"/>
    <w:rsid w:val="00A53AE0"/>
    <w:rsid w:val="00A56C60"/>
    <w:rsid w:val="00A57600"/>
    <w:rsid w:val="00A6256E"/>
    <w:rsid w:val="00A6792F"/>
    <w:rsid w:val="00A73645"/>
    <w:rsid w:val="00A75811"/>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1B"/>
    <w:rsid w:val="00AB324C"/>
    <w:rsid w:val="00AB542D"/>
    <w:rsid w:val="00AC0868"/>
    <w:rsid w:val="00AC1BF7"/>
    <w:rsid w:val="00AC2074"/>
    <w:rsid w:val="00AC26EE"/>
    <w:rsid w:val="00AC39F7"/>
    <w:rsid w:val="00AC4B50"/>
    <w:rsid w:val="00AC68E9"/>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604AD"/>
    <w:rsid w:val="00B7250C"/>
    <w:rsid w:val="00B7324D"/>
    <w:rsid w:val="00B77EC3"/>
    <w:rsid w:val="00B827E6"/>
    <w:rsid w:val="00B82988"/>
    <w:rsid w:val="00B8419A"/>
    <w:rsid w:val="00B84972"/>
    <w:rsid w:val="00B86A36"/>
    <w:rsid w:val="00B90533"/>
    <w:rsid w:val="00B94EFC"/>
    <w:rsid w:val="00B951FC"/>
    <w:rsid w:val="00BA07B9"/>
    <w:rsid w:val="00BA2A96"/>
    <w:rsid w:val="00BA30B3"/>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4263"/>
    <w:rsid w:val="00C569C6"/>
    <w:rsid w:val="00C56D69"/>
    <w:rsid w:val="00C570FE"/>
    <w:rsid w:val="00C63477"/>
    <w:rsid w:val="00C63E7A"/>
    <w:rsid w:val="00C63EFB"/>
    <w:rsid w:val="00C65004"/>
    <w:rsid w:val="00C67C28"/>
    <w:rsid w:val="00C736ED"/>
    <w:rsid w:val="00C76D18"/>
    <w:rsid w:val="00C849C5"/>
    <w:rsid w:val="00C87AEE"/>
    <w:rsid w:val="00C91454"/>
    <w:rsid w:val="00C9546F"/>
    <w:rsid w:val="00C965C2"/>
    <w:rsid w:val="00C974F9"/>
    <w:rsid w:val="00CA2CED"/>
    <w:rsid w:val="00CA2FDE"/>
    <w:rsid w:val="00CA5147"/>
    <w:rsid w:val="00CA730B"/>
    <w:rsid w:val="00CA7F9A"/>
    <w:rsid w:val="00CB1319"/>
    <w:rsid w:val="00CB1EFA"/>
    <w:rsid w:val="00CB3131"/>
    <w:rsid w:val="00CB31D6"/>
    <w:rsid w:val="00CC0B27"/>
    <w:rsid w:val="00CC3F9D"/>
    <w:rsid w:val="00CC4748"/>
    <w:rsid w:val="00CC5547"/>
    <w:rsid w:val="00CC5B4F"/>
    <w:rsid w:val="00CC5C1A"/>
    <w:rsid w:val="00CC70FD"/>
    <w:rsid w:val="00CD0325"/>
    <w:rsid w:val="00CD05A0"/>
    <w:rsid w:val="00CD0E98"/>
    <w:rsid w:val="00CD70F7"/>
    <w:rsid w:val="00CE1360"/>
    <w:rsid w:val="00CE244F"/>
    <w:rsid w:val="00CE2AA2"/>
    <w:rsid w:val="00CE3F8C"/>
    <w:rsid w:val="00CE46FF"/>
    <w:rsid w:val="00CF3D28"/>
    <w:rsid w:val="00CF558A"/>
    <w:rsid w:val="00CF7147"/>
    <w:rsid w:val="00D10C18"/>
    <w:rsid w:val="00D1412F"/>
    <w:rsid w:val="00D16F6F"/>
    <w:rsid w:val="00D20D37"/>
    <w:rsid w:val="00D2195E"/>
    <w:rsid w:val="00D21C1B"/>
    <w:rsid w:val="00D2323D"/>
    <w:rsid w:val="00D24A7F"/>
    <w:rsid w:val="00D25F55"/>
    <w:rsid w:val="00D26235"/>
    <w:rsid w:val="00D2792A"/>
    <w:rsid w:val="00D27DDC"/>
    <w:rsid w:val="00D34C73"/>
    <w:rsid w:val="00D3569F"/>
    <w:rsid w:val="00D4448C"/>
    <w:rsid w:val="00D46A78"/>
    <w:rsid w:val="00D5097C"/>
    <w:rsid w:val="00D50C90"/>
    <w:rsid w:val="00D5183B"/>
    <w:rsid w:val="00D51DAA"/>
    <w:rsid w:val="00D52728"/>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DF6026"/>
    <w:rsid w:val="00E0164C"/>
    <w:rsid w:val="00E044BE"/>
    <w:rsid w:val="00E061CA"/>
    <w:rsid w:val="00E073B6"/>
    <w:rsid w:val="00E111AD"/>
    <w:rsid w:val="00E111C7"/>
    <w:rsid w:val="00E119BB"/>
    <w:rsid w:val="00E12CCA"/>
    <w:rsid w:val="00E13E68"/>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75BB6"/>
    <w:rsid w:val="00E81752"/>
    <w:rsid w:val="00E844C3"/>
    <w:rsid w:val="00E85B3F"/>
    <w:rsid w:val="00E905B9"/>
    <w:rsid w:val="00E9107B"/>
    <w:rsid w:val="00E97C0A"/>
    <w:rsid w:val="00EA0AC7"/>
    <w:rsid w:val="00EA2475"/>
    <w:rsid w:val="00EA2A59"/>
    <w:rsid w:val="00EA5961"/>
    <w:rsid w:val="00EA615E"/>
    <w:rsid w:val="00EB46EF"/>
    <w:rsid w:val="00EB6946"/>
    <w:rsid w:val="00EC0616"/>
    <w:rsid w:val="00EC1A1E"/>
    <w:rsid w:val="00EC2786"/>
    <w:rsid w:val="00EC2905"/>
    <w:rsid w:val="00ED181B"/>
    <w:rsid w:val="00ED3E69"/>
    <w:rsid w:val="00ED52C4"/>
    <w:rsid w:val="00EE05E5"/>
    <w:rsid w:val="00EE6B63"/>
    <w:rsid w:val="00EF30EC"/>
    <w:rsid w:val="00EF6469"/>
    <w:rsid w:val="00F00503"/>
    <w:rsid w:val="00F01D7E"/>
    <w:rsid w:val="00F01F23"/>
    <w:rsid w:val="00F03DC1"/>
    <w:rsid w:val="00F058B2"/>
    <w:rsid w:val="00F129E3"/>
    <w:rsid w:val="00F13632"/>
    <w:rsid w:val="00F13CA6"/>
    <w:rsid w:val="00F1528C"/>
    <w:rsid w:val="00F16114"/>
    <w:rsid w:val="00F20234"/>
    <w:rsid w:val="00F23562"/>
    <w:rsid w:val="00F30623"/>
    <w:rsid w:val="00F32332"/>
    <w:rsid w:val="00F33556"/>
    <w:rsid w:val="00F3357F"/>
    <w:rsid w:val="00F35F4F"/>
    <w:rsid w:val="00F366FA"/>
    <w:rsid w:val="00F40B16"/>
    <w:rsid w:val="00F41D53"/>
    <w:rsid w:val="00F43287"/>
    <w:rsid w:val="00F54A23"/>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235"/>
    <w:rsid w:val="00FD4537"/>
    <w:rsid w:val="00FD63D3"/>
    <w:rsid w:val="00FD6628"/>
    <w:rsid w:val="00FD7003"/>
    <w:rsid w:val="00FD7C4C"/>
    <w:rsid w:val="00FE0AA0"/>
    <w:rsid w:val="00FF1913"/>
    <w:rsid w:val="00FF26B7"/>
    <w:rsid w:val="00FF555A"/>
    <w:rsid w:val="00FF6CC5"/>
    <w:rsid w:val="00FF75EF"/>
    <w:rsid w:val="01CD4B5C"/>
    <w:rsid w:val="023B127A"/>
    <w:rsid w:val="027D77B9"/>
    <w:rsid w:val="02E606E8"/>
    <w:rsid w:val="03843AE2"/>
    <w:rsid w:val="050A51C6"/>
    <w:rsid w:val="06537671"/>
    <w:rsid w:val="066C5EFF"/>
    <w:rsid w:val="06D03F17"/>
    <w:rsid w:val="07710F64"/>
    <w:rsid w:val="077D5B7A"/>
    <w:rsid w:val="08DF7037"/>
    <w:rsid w:val="097A39BD"/>
    <w:rsid w:val="0AE4200D"/>
    <w:rsid w:val="0B514954"/>
    <w:rsid w:val="0B945712"/>
    <w:rsid w:val="0BFF6D6E"/>
    <w:rsid w:val="0CBF3B72"/>
    <w:rsid w:val="0D513523"/>
    <w:rsid w:val="0EA504DF"/>
    <w:rsid w:val="0F1B2164"/>
    <w:rsid w:val="10116799"/>
    <w:rsid w:val="112704C5"/>
    <w:rsid w:val="12171244"/>
    <w:rsid w:val="122B62DE"/>
    <w:rsid w:val="12CA4089"/>
    <w:rsid w:val="13193ECF"/>
    <w:rsid w:val="14D253C7"/>
    <w:rsid w:val="157B226C"/>
    <w:rsid w:val="15856901"/>
    <w:rsid w:val="15F51464"/>
    <w:rsid w:val="181F0A40"/>
    <w:rsid w:val="1862544D"/>
    <w:rsid w:val="19816F4E"/>
    <w:rsid w:val="19901B88"/>
    <w:rsid w:val="1A7A1552"/>
    <w:rsid w:val="1B421302"/>
    <w:rsid w:val="1B7F7A0C"/>
    <w:rsid w:val="1B9624F4"/>
    <w:rsid w:val="1B9D5DBF"/>
    <w:rsid w:val="1B9F76F7"/>
    <w:rsid w:val="1BBB79CF"/>
    <w:rsid w:val="1BD7646F"/>
    <w:rsid w:val="1BFF4799"/>
    <w:rsid w:val="1C4D7D9E"/>
    <w:rsid w:val="1C705695"/>
    <w:rsid w:val="1D321086"/>
    <w:rsid w:val="1FA74E55"/>
    <w:rsid w:val="1FF137D6"/>
    <w:rsid w:val="203F47D5"/>
    <w:rsid w:val="20655753"/>
    <w:rsid w:val="20D163A2"/>
    <w:rsid w:val="21A21E43"/>
    <w:rsid w:val="234D5967"/>
    <w:rsid w:val="24983A99"/>
    <w:rsid w:val="24B81BFB"/>
    <w:rsid w:val="26810EDA"/>
    <w:rsid w:val="2826063E"/>
    <w:rsid w:val="2A377BE6"/>
    <w:rsid w:val="2A7667FE"/>
    <w:rsid w:val="2AA94A95"/>
    <w:rsid w:val="2B1E6810"/>
    <w:rsid w:val="2BB15080"/>
    <w:rsid w:val="2CA32FCA"/>
    <w:rsid w:val="2D652216"/>
    <w:rsid w:val="303D22F1"/>
    <w:rsid w:val="307352A8"/>
    <w:rsid w:val="319D3479"/>
    <w:rsid w:val="32443434"/>
    <w:rsid w:val="32866F6F"/>
    <w:rsid w:val="32C1386A"/>
    <w:rsid w:val="331146CF"/>
    <w:rsid w:val="340466F1"/>
    <w:rsid w:val="34BA63CE"/>
    <w:rsid w:val="35FE41B4"/>
    <w:rsid w:val="37D36E89"/>
    <w:rsid w:val="37EA3D74"/>
    <w:rsid w:val="38D21ABD"/>
    <w:rsid w:val="39146AC9"/>
    <w:rsid w:val="39EA20E7"/>
    <w:rsid w:val="39F20E71"/>
    <w:rsid w:val="3B2304E1"/>
    <w:rsid w:val="3B6C474F"/>
    <w:rsid w:val="3C11247F"/>
    <w:rsid w:val="3C7318E4"/>
    <w:rsid w:val="3C7A1004"/>
    <w:rsid w:val="3CD3589C"/>
    <w:rsid w:val="3CF77E0C"/>
    <w:rsid w:val="3D833A28"/>
    <w:rsid w:val="3E0E5C4A"/>
    <w:rsid w:val="3E1B0996"/>
    <w:rsid w:val="3F2450D7"/>
    <w:rsid w:val="3FA01115"/>
    <w:rsid w:val="40496862"/>
    <w:rsid w:val="408B6586"/>
    <w:rsid w:val="418F0351"/>
    <w:rsid w:val="41BD3506"/>
    <w:rsid w:val="42C01575"/>
    <w:rsid w:val="42CC1463"/>
    <w:rsid w:val="43D04A08"/>
    <w:rsid w:val="44513519"/>
    <w:rsid w:val="449F6585"/>
    <w:rsid w:val="4529148D"/>
    <w:rsid w:val="46793248"/>
    <w:rsid w:val="46E2111A"/>
    <w:rsid w:val="48520E05"/>
    <w:rsid w:val="488561F1"/>
    <w:rsid w:val="4A044D89"/>
    <w:rsid w:val="4A34386B"/>
    <w:rsid w:val="4A3E76A0"/>
    <w:rsid w:val="4AA77CEB"/>
    <w:rsid w:val="4AAA0BF2"/>
    <w:rsid w:val="4B1364D2"/>
    <w:rsid w:val="4C475FD6"/>
    <w:rsid w:val="4C7E7C83"/>
    <w:rsid w:val="4E4572B0"/>
    <w:rsid w:val="4F104D44"/>
    <w:rsid w:val="50C14CA0"/>
    <w:rsid w:val="54165E48"/>
    <w:rsid w:val="54744762"/>
    <w:rsid w:val="54D423FF"/>
    <w:rsid w:val="54E970EA"/>
    <w:rsid w:val="55045BD1"/>
    <w:rsid w:val="55F97723"/>
    <w:rsid w:val="56D464B5"/>
    <w:rsid w:val="5779246A"/>
    <w:rsid w:val="5793098E"/>
    <w:rsid w:val="580B6254"/>
    <w:rsid w:val="5AC87DBB"/>
    <w:rsid w:val="5B206456"/>
    <w:rsid w:val="5B713D9B"/>
    <w:rsid w:val="5BDE163C"/>
    <w:rsid w:val="5C796E31"/>
    <w:rsid w:val="5E6B6BD6"/>
    <w:rsid w:val="5F4073F1"/>
    <w:rsid w:val="5F766D69"/>
    <w:rsid w:val="5FAD5A4D"/>
    <w:rsid w:val="60112ECF"/>
    <w:rsid w:val="614B5516"/>
    <w:rsid w:val="6401230C"/>
    <w:rsid w:val="64CE2BB5"/>
    <w:rsid w:val="66A45DF1"/>
    <w:rsid w:val="673F1DA3"/>
    <w:rsid w:val="679C0A5A"/>
    <w:rsid w:val="68B00491"/>
    <w:rsid w:val="6B197AAD"/>
    <w:rsid w:val="6CC042E5"/>
    <w:rsid w:val="6CC7647A"/>
    <w:rsid w:val="6FAA1ABF"/>
    <w:rsid w:val="70A72A5A"/>
    <w:rsid w:val="70C126B2"/>
    <w:rsid w:val="721C3BFE"/>
    <w:rsid w:val="72385DB2"/>
    <w:rsid w:val="74D335DE"/>
    <w:rsid w:val="75D25F6C"/>
    <w:rsid w:val="760D6AE7"/>
    <w:rsid w:val="796A0BE0"/>
    <w:rsid w:val="7A347802"/>
    <w:rsid w:val="7B5E3E08"/>
    <w:rsid w:val="7CA96DF7"/>
    <w:rsid w:val="7DC052F9"/>
    <w:rsid w:val="7E201DE2"/>
    <w:rsid w:val="7F7030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0"/>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2"/>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3"/>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4"/>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5"/>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6"/>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37"/>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8"/>
    <w:semiHidden/>
    <w:unhideWhenUsed/>
    <w:qFormat/>
    <w:uiPriority w:val="99"/>
    <w:rPr>
      <w:rFonts w:ascii="宋体" w:eastAsia="宋体"/>
      <w:sz w:val="18"/>
      <w:szCs w:val="18"/>
    </w:rPr>
  </w:style>
  <w:style w:type="paragraph" w:styleId="13">
    <w:name w:val="annotation text"/>
    <w:basedOn w:val="1"/>
    <w:link w:val="39"/>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0"/>
    <w:semiHidden/>
    <w:unhideWhenUsed/>
    <w:qFormat/>
    <w:uiPriority w:val="99"/>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3"/>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4"/>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paragraph" w:customStyle="1" w:styleId="28">
    <w:name w:val="1 Char"/>
    <w:basedOn w:val="1"/>
    <w:qFormat/>
    <w:uiPriority w:val="0"/>
    <w:pPr>
      <w:spacing w:line="400" w:lineRule="exact"/>
      <w:ind w:firstLine="200" w:firstLineChars="200"/>
    </w:pPr>
  </w:style>
  <w:style w:type="character" w:customStyle="1" w:styleId="29">
    <w:name w:val="标题 1 Char"/>
    <w:basedOn w:val="24"/>
    <w:link w:val="3"/>
    <w:qFormat/>
    <w:uiPriority w:val="9"/>
    <w:rPr>
      <w:b/>
      <w:bCs/>
      <w:kern w:val="44"/>
      <w:sz w:val="32"/>
      <w:szCs w:val="44"/>
    </w:rPr>
  </w:style>
  <w:style w:type="character" w:customStyle="1" w:styleId="30">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1">
    <w:name w:val="标题 3 Char"/>
    <w:basedOn w:val="24"/>
    <w:link w:val="5"/>
    <w:qFormat/>
    <w:uiPriority w:val="0"/>
    <w:rPr>
      <w:b/>
      <w:bCs/>
      <w:sz w:val="32"/>
      <w:szCs w:val="32"/>
    </w:rPr>
  </w:style>
  <w:style w:type="character" w:customStyle="1" w:styleId="32">
    <w:name w:val="标题 4 Char"/>
    <w:basedOn w:val="24"/>
    <w:link w:val="6"/>
    <w:qFormat/>
    <w:uiPriority w:val="9"/>
    <w:rPr>
      <w:rFonts w:asciiTheme="majorHAnsi" w:hAnsiTheme="majorHAnsi" w:eastAsiaTheme="majorEastAsia" w:cstheme="majorBidi"/>
      <w:b/>
      <w:bCs/>
      <w:sz w:val="28"/>
      <w:szCs w:val="28"/>
    </w:rPr>
  </w:style>
  <w:style w:type="character" w:customStyle="1" w:styleId="33">
    <w:name w:val="标题 5 Char"/>
    <w:basedOn w:val="24"/>
    <w:link w:val="7"/>
    <w:qFormat/>
    <w:uiPriority w:val="9"/>
    <w:rPr>
      <w:b/>
      <w:bCs/>
      <w:sz w:val="28"/>
      <w:szCs w:val="28"/>
    </w:rPr>
  </w:style>
  <w:style w:type="character" w:customStyle="1" w:styleId="34">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5">
    <w:name w:val="标题 7 Char"/>
    <w:basedOn w:val="24"/>
    <w:link w:val="9"/>
    <w:semiHidden/>
    <w:qFormat/>
    <w:uiPriority w:val="9"/>
    <w:rPr>
      <w:b/>
      <w:bCs/>
      <w:sz w:val="24"/>
      <w:szCs w:val="24"/>
    </w:rPr>
  </w:style>
  <w:style w:type="character" w:customStyle="1" w:styleId="36">
    <w:name w:val="标题 8 Char"/>
    <w:basedOn w:val="24"/>
    <w:link w:val="10"/>
    <w:semiHidden/>
    <w:qFormat/>
    <w:uiPriority w:val="9"/>
    <w:rPr>
      <w:rFonts w:asciiTheme="majorHAnsi" w:hAnsiTheme="majorHAnsi" w:eastAsiaTheme="majorEastAsia" w:cstheme="majorBidi"/>
      <w:sz w:val="24"/>
      <w:szCs w:val="24"/>
    </w:rPr>
  </w:style>
  <w:style w:type="character" w:customStyle="1" w:styleId="37">
    <w:name w:val="标题 9 Char"/>
    <w:basedOn w:val="24"/>
    <w:link w:val="11"/>
    <w:semiHidden/>
    <w:qFormat/>
    <w:uiPriority w:val="9"/>
    <w:rPr>
      <w:rFonts w:asciiTheme="majorHAnsi" w:hAnsiTheme="majorHAnsi" w:eastAsiaTheme="majorEastAsia" w:cstheme="majorBidi"/>
      <w:szCs w:val="21"/>
    </w:rPr>
  </w:style>
  <w:style w:type="character" w:customStyle="1" w:styleId="38">
    <w:name w:val="文档结构图 Char"/>
    <w:basedOn w:val="24"/>
    <w:link w:val="12"/>
    <w:semiHidden/>
    <w:qFormat/>
    <w:uiPriority w:val="99"/>
    <w:rPr>
      <w:rFonts w:ascii="宋体" w:eastAsia="宋体"/>
      <w:sz w:val="18"/>
      <w:szCs w:val="18"/>
    </w:rPr>
  </w:style>
  <w:style w:type="character" w:customStyle="1" w:styleId="39">
    <w:name w:val="批注文字 Char"/>
    <w:basedOn w:val="24"/>
    <w:link w:val="13"/>
    <w:semiHidden/>
    <w:qFormat/>
    <w:uiPriority w:val="99"/>
  </w:style>
  <w:style w:type="character" w:customStyle="1" w:styleId="40">
    <w:name w:val="批注框文本 Char"/>
    <w:basedOn w:val="24"/>
    <w:link w:val="15"/>
    <w:semiHidden/>
    <w:qFormat/>
    <w:uiPriority w:val="99"/>
    <w:rPr>
      <w:sz w:val="18"/>
      <w:szCs w:val="18"/>
    </w:rPr>
  </w:style>
  <w:style w:type="character" w:customStyle="1" w:styleId="41">
    <w:name w:val="页脚 Char"/>
    <w:basedOn w:val="24"/>
    <w:link w:val="16"/>
    <w:qFormat/>
    <w:uiPriority w:val="99"/>
    <w:rPr>
      <w:sz w:val="18"/>
      <w:szCs w:val="18"/>
    </w:rPr>
  </w:style>
  <w:style w:type="character" w:customStyle="1" w:styleId="42">
    <w:name w:val="页眉 Char"/>
    <w:basedOn w:val="24"/>
    <w:link w:val="17"/>
    <w:qFormat/>
    <w:uiPriority w:val="99"/>
    <w:rPr>
      <w:sz w:val="18"/>
      <w:szCs w:val="18"/>
    </w:rPr>
  </w:style>
  <w:style w:type="character" w:customStyle="1" w:styleId="43">
    <w:name w:val="标题 Char"/>
    <w:basedOn w:val="24"/>
    <w:link w:val="20"/>
    <w:qFormat/>
    <w:uiPriority w:val="10"/>
    <w:rPr>
      <w:rFonts w:eastAsia="宋体" w:asciiTheme="majorHAnsi" w:hAnsiTheme="majorHAnsi" w:cstheme="majorBidi"/>
      <w:b/>
      <w:bCs/>
      <w:sz w:val="32"/>
      <w:szCs w:val="32"/>
    </w:rPr>
  </w:style>
  <w:style w:type="character" w:customStyle="1" w:styleId="44">
    <w:name w:val="批注主题 Char"/>
    <w:basedOn w:val="39"/>
    <w:link w:val="21"/>
    <w:semiHidden/>
    <w:qFormat/>
    <w:uiPriority w:val="99"/>
    <w:rPr>
      <w:b/>
      <w:bCs/>
    </w:rPr>
  </w:style>
  <w:style w:type="paragraph" w:customStyle="1" w:styleId="45">
    <w:name w:val="报告正文"/>
    <w:basedOn w:val="1"/>
    <w:qFormat/>
    <w:uiPriority w:val="0"/>
    <w:pPr>
      <w:ind w:firstLine="200" w:firstLineChars="200"/>
    </w:pPr>
    <w:rPr>
      <w:sz w:val="28"/>
    </w:rPr>
  </w:style>
  <w:style w:type="paragraph" w:customStyle="1" w:styleId="46">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4">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5">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6">
    <w:name w:val="TOC 标题2"/>
    <w:basedOn w:val="3"/>
    <w:next w:val="1"/>
    <w:semiHidden/>
    <w:unhideWhenUsed/>
    <w:qFormat/>
    <w:uiPriority w:val="39"/>
    <w:pPr>
      <w:numPr>
        <w:numId w:val="0"/>
      </w:numPr>
      <w:outlineLvl w:val="9"/>
    </w:pPr>
    <w:rPr>
      <w:sz w:val="44"/>
    </w:rPr>
  </w:style>
  <w:style w:type="paragraph" w:customStyle="1" w:styleId="67">
    <w:name w:val="TOC 标题3"/>
    <w:basedOn w:val="3"/>
    <w:next w:val="1"/>
    <w:semiHidden/>
    <w:unhideWhenUsed/>
    <w:qFormat/>
    <w:uiPriority w:val="39"/>
    <w:pPr>
      <w:numPr>
        <w:numId w:val="0"/>
      </w:numPr>
      <w:outlineLvl w:val="9"/>
    </w:pPr>
    <w:rPr>
      <w:sz w:val="44"/>
    </w:rPr>
  </w:style>
  <w:style w:type="character" w:customStyle="1" w:styleId="68">
    <w:name w:val="font31"/>
    <w:basedOn w:val="24"/>
    <w:qFormat/>
    <w:uiPriority w:val="0"/>
    <w:rPr>
      <w:rFonts w:hint="eastAsia" w:ascii="宋体" w:hAnsi="宋体" w:eastAsia="宋体" w:cs="宋体"/>
      <w:color w:val="000000"/>
      <w:sz w:val="21"/>
      <w:szCs w:val="21"/>
      <w:u w:val="none"/>
    </w:rPr>
  </w:style>
  <w:style w:type="character" w:customStyle="1" w:styleId="69">
    <w:name w:val="font21"/>
    <w:basedOn w:val="24"/>
    <w:qFormat/>
    <w:uiPriority w:val="0"/>
    <w:rPr>
      <w:rFonts w:hint="default" w:ascii="Calibri" w:hAnsi="Calibri" w:cs="Calibri"/>
      <w:color w:val="000000"/>
      <w:sz w:val="21"/>
      <w:szCs w:val="21"/>
      <w:u w:val="none"/>
    </w:rPr>
  </w:style>
  <w:style w:type="character" w:customStyle="1" w:styleId="70">
    <w:name w:val="font41"/>
    <w:basedOn w:val="24"/>
    <w:qFormat/>
    <w:uiPriority w:val="0"/>
    <w:rPr>
      <w:rFonts w:hint="eastAsia" w:ascii="宋体" w:hAnsi="宋体" w:eastAsia="宋体"/>
      <w:color w:val="000000"/>
      <w:sz w:val="21"/>
      <w:szCs w:val="21"/>
      <w:u w:val="none"/>
    </w:rPr>
  </w:style>
  <w:style w:type="character" w:customStyle="1" w:styleId="71">
    <w:name w:val="font71"/>
    <w:basedOn w:val="24"/>
    <w:qFormat/>
    <w:uiPriority w:val="0"/>
    <w:rPr>
      <w:rFonts w:hint="eastAsia" w:ascii="宋体" w:hAnsi="宋体" w:eastAsia="宋体"/>
      <w:color w:val="000000"/>
      <w:sz w:val="16"/>
      <w:szCs w:val="16"/>
      <w:u w:val="none"/>
    </w:rPr>
  </w:style>
  <w:style w:type="character" w:customStyle="1" w:styleId="72">
    <w:name w:val="font81"/>
    <w:basedOn w:val="24"/>
    <w:qFormat/>
    <w:uiPriority w:val="0"/>
    <w:rPr>
      <w:rFonts w:hint="default" w:ascii="Calibri" w:hAnsi="Calibri"/>
      <w:color w:val="000000"/>
      <w:sz w:val="16"/>
      <w:szCs w:val="16"/>
      <w:u w:val="none"/>
    </w:rPr>
  </w:style>
  <w:style w:type="paragraph" w:customStyle="1" w:styleId="73">
    <w:name w:val="font0"/>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74">
    <w:name w:val="font1"/>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75">
    <w:name w:val="font2"/>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76">
    <w:name w:val="et3"/>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77">
    <w:name w:val="et4"/>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78">
    <w:name w:val="et5"/>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Cs w:val="21"/>
    </w:rPr>
  </w:style>
  <w:style w:type="paragraph" w:customStyle="1" w:styleId="79">
    <w:name w:val="et6"/>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Cs w:val="21"/>
    </w:rPr>
  </w:style>
  <w:style w:type="paragraph" w:customStyle="1" w:styleId="80">
    <w:name w:val="et7"/>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81">
    <w:name w:val="et8"/>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82">
    <w:name w:val="et9"/>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character" w:customStyle="1" w:styleId="83">
    <w:name w:val="font01"/>
    <w:basedOn w:val="24"/>
    <w:qFormat/>
    <w:uiPriority w:val="0"/>
    <w:rPr>
      <w:rFonts w:hint="eastAsia" w:ascii="宋体" w:hAnsi="宋体" w:eastAsia="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numbering" Target="numbering.xml"/><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oleObject" Target="embeddings/oleObject7.bin"/><Relationship Id="rId23" Type="http://schemas.openxmlformats.org/officeDocument/2006/relationships/oleObject" Target="embeddings/oleObject6.bin"/><Relationship Id="rId22" Type="http://schemas.openxmlformats.org/officeDocument/2006/relationships/oleObject" Target="embeddings/oleObject5.bin"/><Relationship Id="rId21" Type="http://schemas.openxmlformats.org/officeDocument/2006/relationships/image" Target="media/image11.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3.bin"/><Relationship Id="rId17" Type="http://schemas.openxmlformats.org/officeDocument/2006/relationships/image" Target="media/image9.wmf"/><Relationship Id="rId16" Type="http://schemas.openxmlformats.org/officeDocument/2006/relationships/oleObject" Target="embeddings/oleObject2.bin"/><Relationship Id="rId15" Type="http://schemas.openxmlformats.org/officeDocument/2006/relationships/image" Target="media/image8.wmf"/><Relationship Id="rId14" Type="http://schemas.openxmlformats.org/officeDocument/2006/relationships/oleObject" Target="embeddings/oleObject1.bin"/><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79735-76C1-463A-8930-720B6B3583D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13095</Words>
  <Characters>18963</Characters>
  <Lines>165</Lines>
  <Paragraphs>46</Paragraphs>
  <TotalTime>0</TotalTime>
  <ScaleCrop>false</ScaleCrop>
  <LinksUpToDate>false</LinksUpToDate>
  <CharactersWithSpaces>19539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2022-01-24T06:19:00Z</cp:lastPrinted>
  <dcterms:modified xsi:type="dcterms:W3CDTF">2022-07-28T10:32:05Z</dcterms:modified>
  <cp:revision>940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E51ADFC2DE34403B86D9828CC0E9E31C</vt:lpwstr>
  </property>
</Properties>
</file>